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363" w:rsidRPr="00D11B9A" w:rsidRDefault="00FB2363" w:rsidP="00FB2363">
      <w:pPr>
        <w:spacing w:after="0" w:line="360" w:lineRule="auto"/>
        <w:jc w:val="both"/>
        <w:rPr>
          <w:rFonts w:ascii="Palatino Linotype" w:hAnsi="Palatino Linotype" w:cs="Arial"/>
          <w:b/>
          <w:sz w:val="24"/>
          <w:szCs w:val="24"/>
        </w:rPr>
      </w:pPr>
      <w:r w:rsidRPr="00D11B9A">
        <w:rPr>
          <w:rFonts w:ascii="Palatino Linotype" w:hAnsi="Palatino Linotype" w:cs="Arial"/>
          <w:b/>
          <w:sz w:val="24"/>
          <w:szCs w:val="24"/>
        </w:rPr>
        <w:t>VOTO PARTICULAR DEL COMISIONADO JOSÉ GUADALUPE LUNA HERNÁNDEZ DEL RECURSO DE REVISIÓN 02879/INFOEM/IP/RR/2018.</w:t>
      </w:r>
    </w:p>
    <w:p w:rsidR="00FB2363" w:rsidRPr="00D11B9A" w:rsidRDefault="00FB2363" w:rsidP="00FB2363">
      <w:pPr>
        <w:spacing w:after="0" w:line="360" w:lineRule="auto"/>
        <w:jc w:val="both"/>
        <w:rPr>
          <w:rFonts w:ascii="Palatino Linotype" w:hAnsi="Palatino Linotype" w:cs="Arial"/>
          <w:sz w:val="24"/>
          <w:szCs w:val="24"/>
        </w:rPr>
      </w:pPr>
    </w:p>
    <w:p w:rsidR="00FB2363" w:rsidRPr="00D11B9A" w:rsidRDefault="00FB2363" w:rsidP="00FB2363">
      <w:pPr>
        <w:spacing w:after="0" w:line="360" w:lineRule="auto"/>
        <w:jc w:val="both"/>
        <w:rPr>
          <w:rFonts w:ascii="Palatino Linotype" w:hAnsi="Palatino Linotype" w:cs="Arial"/>
          <w:b/>
          <w:sz w:val="24"/>
          <w:szCs w:val="24"/>
        </w:rPr>
      </w:pPr>
      <w:r w:rsidRPr="00D11B9A">
        <w:rPr>
          <w:rFonts w:ascii="Palatino Linotype" w:hAnsi="Palatino Linotype" w:cs="Arial"/>
          <w:b/>
          <w:sz w:val="24"/>
          <w:szCs w:val="24"/>
        </w:rPr>
        <w:t>Líneas argumentativas:</w:t>
      </w:r>
    </w:p>
    <w:p w:rsidR="00FB2363" w:rsidRPr="00D11B9A" w:rsidRDefault="00FB2363" w:rsidP="00FB2363">
      <w:pPr>
        <w:spacing w:after="0" w:line="240" w:lineRule="auto"/>
        <w:jc w:val="both"/>
        <w:rPr>
          <w:rFonts w:ascii="Palatino Linotype" w:hAnsi="Palatino Linotype" w:cs="Arial"/>
          <w:sz w:val="24"/>
          <w:szCs w:val="24"/>
        </w:rPr>
      </w:pPr>
    </w:p>
    <w:p w:rsidR="00FB2363" w:rsidRPr="00D11B9A" w:rsidRDefault="00FB2363" w:rsidP="00FB2363">
      <w:pPr>
        <w:spacing w:after="0" w:line="360" w:lineRule="auto"/>
        <w:jc w:val="both"/>
        <w:rPr>
          <w:rFonts w:ascii="Palatino Linotype" w:hAnsi="Palatino Linotype" w:cs="Arial"/>
          <w:sz w:val="24"/>
          <w:szCs w:val="24"/>
        </w:rPr>
      </w:pPr>
      <w:r w:rsidRPr="00D11B9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FB2363" w:rsidRPr="00D11B9A" w:rsidRDefault="00FB2363" w:rsidP="00FB2363">
      <w:pPr>
        <w:spacing w:after="0" w:line="240" w:lineRule="auto"/>
        <w:jc w:val="both"/>
        <w:rPr>
          <w:rFonts w:ascii="Palatino Linotype" w:hAnsi="Palatino Linotype" w:cs="Arial"/>
          <w:sz w:val="24"/>
          <w:szCs w:val="24"/>
        </w:rPr>
      </w:pPr>
    </w:p>
    <w:p w:rsidR="00FB2363" w:rsidRPr="00D11B9A" w:rsidRDefault="00FB2363" w:rsidP="00FB2363">
      <w:pPr>
        <w:spacing w:after="0" w:line="360" w:lineRule="auto"/>
        <w:jc w:val="both"/>
        <w:rPr>
          <w:rFonts w:ascii="Palatino Linotype" w:hAnsi="Palatino Linotype" w:cs="Arial"/>
          <w:sz w:val="24"/>
          <w:szCs w:val="24"/>
        </w:rPr>
      </w:pPr>
      <w:r w:rsidRPr="00D11B9A">
        <w:rPr>
          <w:rFonts w:ascii="Palatino Linotype" w:hAnsi="Palatino Linotype" w:cs="Arial"/>
          <w:sz w:val="24"/>
          <w:szCs w:val="24"/>
        </w:rPr>
        <w:t>La figura de actos consentidos no debe ser invocada en el derecho humano fundamental de acceder a la información pública gubernamental.</w:t>
      </w:r>
    </w:p>
    <w:p w:rsidR="00FB2363" w:rsidRPr="00D11B9A" w:rsidRDefault="00FB2363" w:rsidP="00FB2363">
      <w:pPr>
        <w:spacing w:after="0" w:line="240" w:lineRule="auto"/>
        <w:jc w:val="both"/>
        <w:rPr>
          <w:rFonts w:ascii="Palatino Linotype" w:hAnsi="Palatino Linotype" w:cs="Arial"/>
          <w:sz w:val="24"/>
          <w:szCs w:val="24"/>
        </w:rPr>
      </w:pPr>
    </w:p>
    <w:p w:rsidR="00FB2363" w:rsidRPr="00D11B9A" w:rsidRDefault="00FB2363" w:rsidP="00FB2363">
      <w:pPr>
        <w:spacing w:after="0" w:line="360" w:lineRule="auto"/>
        <w:jc w:val="both"/>
        <w:rPr>
          <w:rFonts w:ascii="Palatino Linotype" w:hAnsi="Palatino Linotype" w:cs="Arial"/>
          <w:sz w:val="24"/>
          <w:szCs w:val="24"/>
        </w:rPr>
      </w:pPr>
      <w:r w:rsidRPr="00D11B9A">
        <w:rPr>
          <w:rFonts w:ascii="Palatino Linotype" w:hAnsi="Palatino Linotype" w:cs="Arial"/>
          <w:sz w:val="24"/>
          <w:szCs w:val="24"/>
        </w:rPr>
        <w:t>El Órgano Garante del derecho de acceso a la información pública no debe imponerles las cargas formales del proceso jurisdiccional a los particulares.</w:t>
      </w:r>
    </w:p>
    <w:p w:rsidR="00FB2363" w:rsidRPr="00D11B9A" w:rsidRDefault="00FB2363" w:rsidP="00FB2363">
      <w:pPr>
        <w:spacing w:after="0" w:line="240" w:lineRule="auto"/>
        <w:jc w:val="both"/>
        <w:rPr>
          <w:rFonts w:ascii="Palatino Linotype" w:hAnsi="Palatino Linotype" w:cs="Arial"/>
          <w:sz w:val="24"/>
          <w:szCs w:val="24"/>
        </w:rPr>
      </w:pPr>
    </w:p>
    <w:p w:rsidR="00FB2363" w:rsidRPr="00D11B9A" w:rsidRDefault="00FB2363" w:rsidP="00FB2363">
      <w:pPr>
        <w:spacing w:after="0" w:line="360" w:lineRule="auto"/>
        <w:jc w:val="both"/>
        <w:rPr>
          <w:rFonts w:ascii="Palatino Linotype" w:hAnsi="Palatino Linotype" w:cs="Arial"/>
          <w:sz w:val="24"/>
          <w:szCs w:val="24"/>
        </w:rPr>
      </w:pPr>
      <w:r w:rsidRPr="00D11B9A">
        <w:rPr>
          <w:rFonts w:ascii="Palatino Linotype" w:hAnsi="Palatino Linotype" w:cs="Arial"/>
          <w:sz w:val="24"/>
          <w:szCs w:val="24"/>
        </w:rPr>
        <w:t xml:space="preserve">Lo que este Órgano Garante realice en materia de suplencia de la queja no afecta la </w:t>
      </w:r>
      <w:proofErr w:type="gramStart"/>
      <w:r w:rsidRPr="00D11B9A">
        <w:rPr>
          <w:rFonts w:ascii="Palatino Linotype" w:hAnsi="Palatino Linotype" w:cs="Arial"/>
          <w:sz w:val="24"/>
          <w:szCs w:val="24"/>
        </w:rPr>
        <w:t>igualdad</w:t>
      </w:r>
      <w:proofErr w:type="gramEnd"/>
      <w:r w:rsidRPr="00D11B9A">
        <w:rPr>
          <w:rFonts w:ascii="Palatino Linotype" w:hAnsi="Palatino Linotype" w:cs="Arial"/>
          <w:sz w:val="24"/>
          <w:szCs w:val="24"/>
        </w:rPr>
        <w:t xml:space="preserve"> de las partes sino procura el cumplimiento de los deberes de protección del derecho humano.</w:t>
      </w:r>
    </w:p>
    <w:p w:rsidR="00FB2363" w:rsidRPr="00D11B9A" w:rsidRDefault="00FB2363" w:rsidP="00FB2363">
      <w:pPr>
        <w:spacing w:after="0" w:line="240" w:lineRule="auto"/>
        <w:jc w:val="both"/>
        <w:rPr>
          <w:rFonts w:ascii="Palatino Linotype" w:hAnsi="Palatino Linotype" w:cs="Arial"/>
          <w:sz w:val="24"/>
          <w:szCs w:val="24"/>
        </w:rPr>
      </w:pPr>
    </w:p>
    <w:p w:rsidR="00FB2363" w:rsidRPr="00D11B9A" w:rsidRDefault="00FB2363" w:rsidP="00FB2363">
      <w:pPr>
        <w:spacing w:after="0" w:line="360" w:lineRule="auto"/>
        <w:jc w:val="both"/>
        <w:rPr>
          <w:rFonts w:ascii="Palatino Linotype" w:hAnsi="Palatino Linotype" w:cs="Arial"/>
          <w:sz w:val="24"/>
          <w:szCs w:val="24"/>
        </w:rPr>
      </w:pPr>
      <w:r w:rsidRPr="00D11B9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FB2363" w:rsidRPr="00D11B9A" w:rsidRDefault="00FB2363" w:rsidP="00FB2363">
      <w:pPr>
        <w:spacing w:after="0" w:line="360" w:lineRule="auto"/>
        <w:jc w:val="both"/>
        <w:rPr>
          <w:rFonts w:ascii="Palatino Linotype" w:hAnsi="Palatino Linotype" w:cs="Arial"/>
          <w:sz w:val="24"/>
          <w:szCs w:val="24"/>
        </w:rPr>
      </w:pPr>
    </w:p>
    <w:p w:rsidR="00FB2363" w:rsidRPr="00D11B9A" w:rsidRDefault="00FB2363" w:rsidP="00FB2363">
      <w:pPr>
        <w:spacing w:after="0" w:line="360" w:lineRule="auto"/>
        <w:jc w:val="both"/>
        <w:rPr>
          <w:rFonts w:ascii="Palatino Linotype" w:hAnsi="Palatino Linotype" w:cs="Arial"/>
          <w:sz w:val="24"/>
          <w:szCs w:val="24"/>
        </w:rPr>
      </w:pPr>
      <w:r w:rsidRPr="00D11B9A">
        <w:rPr>
          <w:rFonts w:ascii="Palatino Linotype" w:hAnsi="Palatino Linotype" w:cs="Arial"/>
          <w:sz w:val="24"/>
          <w:szCs w:val="24"/>
        </w:rPr>
        <w:lastRenderedPageBreak/>
        <w:t>Los órganos del Estado, tienen el deber de cumplir sus atribuciones, de prevenir violaciones a los derechos fundamentales.</w:t>
      </w:r>
    </w:p>
    <w:p w:rsidR="00FB2363" w:rsidRPr="00D11B9A" w:rsidRDefault="00FB2363" w:rsidP="00FB2363">
      <w:pPr>
        <w:spacing w:after="0" w:line="360" w:lineRule="auto"/>
        <w:jc w:val="both"/>
        <w:rPr>
          <w:rFonts w:ascii="Palatino Linotype" w:hAnsi="Palatino Linotype" w:cs="Arial"/>
          <w:sz w:val="24"/>
          <w:szCs w:val="24"/>
        </w:rPr>
      </w:pPr>
    </w:p>
    <w:p w:rsidR="00FB2363" w:rsidRPr="00D11B9A" w:rsidRDefault="00FB2363" w:rsidP="00FB2363">
      <w:pPr>
        <w:spacing w:after="0" w:line="360" w:lineRule="auto"/>
        <w:jc w:val="both"/>
        <w:rPr>
          <w:rFonts w:ascii="Palatino Linotype" w:hAnsi="Palatino Linotype" w:cs="Arial"/>
          <w:sz w:val="24"/>
          <w:szCs w:val="24"/>
        </w:rPr>
      </w:pPr>
      <w:r w:rsidRPr="00D11B9A">
        <w:rPr>
          <w:rFonts w:ascii="Palatino Linotype" w:hAnsi="Palatino Linotype" w:cs="Arial"/>
          <w:b/>
          <w:sz w:val="24"/>
          <w:szCs w:val="24"/>
        </w:rPr>
        <w:t>Índice</w:t>
      </w:r>
    </w:p>
    <w:sdt>
      <w:sdtPr>
        <w:rPr>
          <w:rFonts w:ascii="Palatino Linotype" w:hAnsi="Palatino Linotype"/>
          <w:lang w:val="es-ES"/>
        </w:rPr>
        <w:id w:val="-1628690016"/>
        <w:docPartObj>
          <w:docPartGallery w:val="Table of Contents"/>
          <w:docPartUnique/>
        </w:docPartObj>
      </w:sdtPr>
      <w:sdtEndPr>
        <w:rPr>
          <w:b/>
          <w:bCs/>
        </w:rPr>
      </w:sdtEndPr>
      <w:sdtContent>
        <w:p w:rsidR="00FB2363" w:rsidRPr="00D11B9A" w:rsidRDefault="00FB2363" w:rsidP="00FB2363">
          <w:pPr>
            <w:keepNext/>
            <w:keepLines/>
            <w:spacing w:before="240" w:after="0" w:line="360" w:lineRule="auto"/>
            <w:rPr>
              <w:rFonts w:ascii="Palatino Linotype" w:eastAsiaTheme="majorEastAsia" w:hAnsi="Palatino Linotype" w:cstheme="majorBidi"/>
              <w:color w:val="2E74B5" w:themeColor="accent1" w:themeShade="BF"/>
              <w:sz w:val="32"/>
              <w:szCs w:val="32"/>
              <w:lang w:eastAsia="es-MX"/>
            </w:rPr>
          </w:pPr>
        </w:p>
        <w:p w:rsidR="00FB2363" w:rsidRPr="00D11B9A" w:rsidRDefault="00FB2363" w:rsidP="00FB2363">
          <w:pPr>
            <w:tabs>
              <w:tab w:val="left" w:pos="440"/>
              <w:tab w:val="right" w:leader="dot" w:pos="8828"/>
            </w:tabs>
            <w:spacing w:after="100"/>
            <w:rPr>
              <w:rFonts w:ascii="Palatino Linotype" w:eastAsiaTheme="minorEastAsia" w:hAnsi="Palatino Linotype"/>
              <w:noProof/>
              <w:lang w:eastAsia="es-MX"/>
            </w:rPr>
          </w:pPr>
          <w:r w:rsidRPr="00D11B9A">
            <w:rPr>
              <w:rFonts w:ascii="Palatino Linotype" w:hAnsi="Palatino Linotype"/>
            </w:rPr>
            <w:fldChar w:fldCharType="begin"/>
          </w:r>
          <w:r w:rsidRPr="00D11B9A">
            <w:rPr>
              <w:rFonts w:ascii="Palatino Linotype" w:hAnsi="Palatino Linotype"/>
            </w:rPr>
            <w:instrText xml:space="preserve"> TOC \o "1-3" \h \z \u </w:instrText>
          </w:r>
          <w:r w:rsidRPr="00D11B9A">
            <w:rPr>
              <w:rFonts w:ascii="Palatino Linotype" w:hAnsi="Palatino Linotype"/>
            </w:rPr>
            <w:fldChar w:fldCharType="separate"/>
          </w:r>
          <w:hyperlink w:anchor="_Toc506552627" w:history="1">
            <w:r w:rsidRPr="00D11B9A">
              <w:rPr>
                <w:rFonts w:ascii="Palatino Linotype" w:hAnsi="Palatino Linotype"/>
                <w:b/>
                <w:noProof/>
                <w:color w:val="0563C1" w:themeColor="hyperlink"/>
                <w:u w:val="single"/>
              </w:rPr>
              <w:t>I.</w:t>
            </w:r>
            <w:r w:rsidRPr="00D11B9A">
              <w:rPr>
                <w:rFonts w:ascii="Palatino Linotype" w:eastAsiaTheme="minorEastAsia" w:hAnsi="Palatino Linotype"/>
                <w:noProof/>
                <w:lang w:eastAsia="es-MX"/>
              </w:rPr>
              <w:tab/>
            </w:r>
            <w:r w:rsidRPr="00D11B9A">
              <w:rPr>
                <w:rFonts w:ascii="Palatino Linotype" w:hAnsi="Palatino Linotype"/>
                <w:b/>
                <w:noProof/>
                <w:color w:val="0563C1" w:themeColor="hyperlink"/>
                <w:u w:val="single"/>
              </w:rPr>
              <w:t>Consideraciones Generales.</w:t>
            </w:r>
            <w:r w:rsidRPr="00D11B9A">
              <w:rPr>
                <w:rFonts w:ascii="Palatino Linotype" w:hAnsi="Palatino Linotype"/>
                <w:noProof/>
                <w:webHidden/>
              </w:rPr>
              <w:tab/>
            </w:r>
            <w:r w:rsidRPr="00D11B9A">
              <w:rPr>
                <w:rFonts w:ascii="Palatino Linotype" w:hAnsi="Palatino Linotype"/>
                <w:noProof/>
                <w:webHidden/>
              </w:rPr>
              <w:fldChar w:fldCharType="begin"/>
            </w:r>
            <w:r w:rsidRPr="00D11B9A">
              <w:rPr>
                <w:rFonts w:ascii="Palatino Linotype" w:hAnsi="Palatino Linotype"/>
                <w:noProof/>
                <w:webHidden/>
              </w:rPr>
              <w:instrText xml:space="preserve"> PAGEREF _Toc506552627 \h </w:instrText>
            </w:r>
            <w:r w:rsidRPr="00D11B9A">
              <w:rPr>
                <w:rFonts w:ascii="Palatino Linotype" w:hAnsi="Palatino Linotype"/>
                <w:noProof/>
                <w:webHidden/>
              </w:rPr>
            </w:r>
            <w:r w:rsidRPr="00D11B9A">
              <w:rPr>
                <w:rFonts w:ascii="Palatino Linotype" w:hAnsi="Palatino Linotype"/>
                <w:noProof/>
                <w:webHidden/>
              </w:rPr>
              <w:fldChar w:fldCharType="separate"/>
            </w:r>
            <w:r w:rsidR="00D11B9A">
              <w:rPr>
                <w:rFonts w:ascii="Palatino Linotype" w:hAnsi="Palatino Linotype"/>
                <w:noProof/>
                <w:webHidden/>
              </w:rPr>
              <w:t>2</w:t>
            </w:r>
            <w:r w:rsidRPr="00D11B9A">
              <w:rPr>
                <w:rFonts w:ascii="Palatino Linotype" w:hAnsi="Palatino Linotype"/>
                <w:noProof/>
                <w:webHidden/>
              </w:rPr>
              <w:fldChar w:fldCharType="end"/>
            </w:r>
          </w:hyperlink>
        </w:p>
        <w:p w:rsidR="00FB2363" w:rsidRPr="00D11B9A" w:rsidRDefault="004103E9" w:rsidP="00FB2363">
          <w:pPr>
            <w:tabs>
              <w:tab w:val="left" w:pos="660"/>
              <w:tab w:val="right" w:leader="dot" w:pos="8828"/>
            </w:tabs>
            <w:spacing w:after="100"/>
            <w:rPr>
              <w:rFonts w:ascii="Palatino Linotype" w:eastAsiaTheme="minorEastAsia" w:hAnsi="Palatino Linotype"/>
              <w:noProof/>
              <w:lang w:eastAsia="es-MX"/>
            </w:rPr>
          </w:pPr>
          <w:hyperlink w:anchor="_Toc506552628" w:history="1">
            <w:r w:rsidR="00FB2363" w:rsidRPr="00D11B9A">
              <w:rPr>
                <w:rFonts w:ascii="Palatino Linotype" w:hAnsi="Palatino Linotype"/>
                <w:b/>
                <w:noProof/>
                <w:color w:val="0563C1" w:themeColor="hyperlink"/>
                <w:u w:val="single"/>
              </w:rPr>
              <w:t>II.</w:t>
            </w:r>
            <w:r w:rsidR="00FB2363" w:rsidRPr="00D11B9A">
              <w:rPr>
                <w:rFonts w:ascii="Palatino Linotype" w:eastAsiaTheme="minorEastAsia" w:hAnsi="Palatino Linotype"/>
                <w:noProof/>
                <w:lang w:eastAsia="es-MX"/>
              </w:rPr>
              <w:tab/>
            </w:r>
            <w:r w:rsidR="00FB2363" w:rsidRPr="00D11B9A">
              <w:rPr>
                <w:rFonts w:ascii="Palatino Linotype" w:hAnsi="Palatino Linotype"/>
                <w:b/>
                <w:noProof/>
                <w:color w:val="0563C1" w:themeColor="hyperlink"/>
                <w:u w:val="single"/>
              </w:rPr>
              <w:t>De los requerimientos planteados en el recurso de revisión.</w:t>
            </w:r>
            <w:r w:rsidR="00FB2363" w:rsidRPr="00D11B9A">
              <w:rPr>
                <w:rFonts w:ascii="Palatino Linotype" w:hAnsi="Palatino Linotype"/>
                <w:noProof/>
                <w:webHidden/>
              </w:rPr>
              <w:tab/>
            </w:r>
            <w:r w:rsidR="00FB2363" w:rsidRPr="00D11B9A">
              <w:rPr>
                <w:rFonts w:ascii="Palatino Linotype" w:hAnsi="Palatino Linotype"/>
                <w:noProof/>
                <w:webHidden/>
              </w:rPr>
              <w:fldChar w:fldCharType="begin"/>
            </w:r>
            <w:r w:rsidR="00FB2363" w:rsidRPr="00D11B9A">
              <w:rPr>
                <w:rFonts w:ascii="Palatino Linotype" w:hAnsi="Palatino Linotype"/>
                <w:noProof/>
                <w:webHidden/>
              </w:rPr>
              <w:instrText xml:space="preserve"> PAGEREF _Toc506552628 \h </w:instrText>
            </w:r>
            <w:r w:rsidR="00FB2363" w:rsidRPr="00D11B9A">
              <w:rPr>
                <w:rFonts w:ascii="Palatino Linotype" w:hAnsi="Palatino Linotype"/>
                <w:noProof/>
                <w:webHidden/>
              </w:rPr>
            </w:r>
            <w:r w:rsidR="00FB2363" w:rsidRPr="00D11B9A">
              <w:rPr>
                <w:rFonts w:ascii="Palatino Linotype" w:hAnsi="Palatino Linotype"/>
                <w:noProof/>
                <w:webHidden/>
              </w:rPr>
              <w:fldChar w:fldCharType="separate"/>
            </w:r>
            <w:r w:rsidR="00D11B9A">
              <w:rPr>
                <w:rFonts w:ascii="Palatino Linotype" w:hAnsi="Palatino Linotype"/>
                <w:noProof/>
                <w:webHidden/>
              </w:rPr>
              <w:t>3</w:t>
            </w:r>
            <w:r w:rsidR="00FB2363" w:rsidRPr="00D11B9A">
              <w:rPr>
                <w:rFonts w:ascii="Palatino Linotype" w:hAnsi="Palatino Linotype"/>
                <w:noProof/>
                <w:webHidden/>
              </w:rPr>
              <w:fldChar w:fldCharType="end"/>
            </w:r>
          </w:hyperlink>
        </w:p>
        <w:p w:rsidR="00FB2363" w:rsidRPr="00D11B9A" w:rsidRDefault="004103E9" w:rsidP="00FB2363">
          <w:pPr>
            <w:tabs>
              <w:tab w:val="left" w:pos="660"/>
              <w:tab w:val="right" w:leader="dot" w:pos="8828"/>
            </w:tabs>
            <w:spacing w:after="100"/>
            <w:rPr>
              <w:rFonts w:ascii="Palatino Linotype" w:eastAsiaTheme="minorEastAsia" w:hAnsi="Palatino Linotype"/>
              <w:noProof/>
              <w:lang w:eastAsia="es-MX"/>
            </w:rPr>
          </w:pPr>
          <w:hyperlink w:anchor="_Toc506552629" w:history="1">
            <w:r w:rsidR="00FB2363" w:rsidRPr="00D11B9A">
              <w:rPr>
                <w:rFonts w:ascii="Palatino Linotype" w:hAnsi="Palatino Linotype"/>
                <w:b/>
                <w:noProof/>
                <w:color w:val="0563C1" w:themeColor="hyperlink"/>
                <w:u w:val="single"/>
              </w:rPr>
              <w:t>III.</w:t>
            </w:r>
            <w:r w:rsidR="00FB2363" w:rsidRPr="00D11B9A">
              <w:rPr>
                <w:rFonts w:ascii="Palatino Linotype" w:eastAsiaTheme="minorEastAsia" w:hAnsi="Palatino Linotype"/>
                <w:noProof/>
                <w:lang w:eastAsia="es-MX"/>
              </w:rPr>
              <w:tab/>
            </w:r>
            <w:r w:rsidR="00FB2363" w:rsidRPr="00D11B9A">
              <w:rPr>
                <w:rFonts w:ascii="Palatino Linotype" w:hAnsi="Palatino Linotype"/>
                <w:b/>
                <w:noProof/>
                <w:color w:val="0563C1" w:themeColor="hyperlink"/>
                <w:u w:val="single"/>
              </w:rPr>
              <w:t>Los actos consentidos no deben invocarse en el derecho fundamental de acceder a la información pública gubernamental.</w:t>
            </w:r>
            <w:r w:rsidR="00FB2363" w:rsidRPr="00D11B9A">
              <w:rPr>
                <w:rFonts w:ascii="Palatino Linotype" w:hAnsi="Palatino Linotype"/>
                <w:noProof/>
                <w:webHidden/>
              </w:rPr>
              <w:tab/>
            </w:r>
            <w:r w:rsidR="00FB2363" w:rsidRPr="00D11B9A">
              <w:rPr>
                <w:rFonts w:ascii="Palatino Linotype" w:hAnsi="Palatino Linotype"/>
                <w:noProof/>
                <w:webHidden/>
              </w:rPr>
              <w:fldChar w:fldCharType="begin"/>
            </w:r>
            <w:r w:rsidR="00FB2363" w:rsidRPr="00D11B9A">
              <w:rPr>
                <w:rFonts w:ascii="Palatino Linotype" w:hAnsi="Palatino Linotype"/>
                <w:noProof/>
                <w:webHidden/>
              </w:rPr>
              <w:instrText xml:space="preserve"> PAGEREF _Toc506552629 \h </w:instrText>
            </w:r>
            <w:r w:rsidR="00FB2363" w:rsidRPr="00D11B9A">
              <w:rPr>
                <w:rFonts w:ascii="Palatino Linotype" w:hAnsi="Palatino Linotype"/>
                <w:noProof/>
                <w:webHidden/>
              </w:rPr>
            </w:r>
            <w:r w:rsidR="00FB2363" w:rsidRPr="00D11B9A">
              <w:rPr>
                <w:rFonts w:ascii="Palatino Linotype" w:hAnsi="Palatino Linotype"/>
                <w:noProof/>
                <w:webHidden/>
              </w:rPr>
              <w:fldChar w:fldCharType="separate"/>
            </w:r>
            <w:r w:rsidR="00D11B9A">
              <w:rPr>
                <w:rFonts w:ascii="Palatino Linotype" w:hAnsi="Palatino Linotype"/>
                <w:noProof/>
                <w:webHidden/>
              </w:rPr>
              <w:t>7</w:t>
            </w:r>
            <w:r w:rsidR="00FB2363" w:rsidRPr="00D11B9A">
              <w:rPr>
                <w:rFonts w:ascii="Palatino Linotype" w:hAnsi="Palatino Linotype"/>
                <w:noProof/>
                <w:webHidden/>
              </w:rPr>
              <w:fldChar w:fldCharType="end"/>
            </w:r>
          </w:hyperlink>
        </w:p>
        <w:p w:rsidR="00FB2363" w:rsidRPr="00D11B9A" w:rsidRDefault="00FB2363" w:rsidP="00FB2363">
          <w:pPr>
            <w:spacing w:line="360" w:lineRule="auto"/>
            <w:rPr>
              <w:rFonts w:ascii="Palatino Linotype" w:hAnsi="Palatino Linotype"/>
            </w:rPr>
          </w:pPr>
          <w:r w:rsidRPr="00D11B9A">
            <w:rPr>
              <w:rFonts w:ascii="Palatino Linotype" w:hAnsi="Palatino Linotype"/>
              <w:b/>
              <w:bCs/>
              <w:lang w:val="es-ES"/>
            </w:rPr>
            <w:fldChar w:fldCharType="end"/>
          </w:r>
        </w:p>
      </w:sdtContent>
    </w:sdt>
    <w:p w:rsidR="00FB2363" w:rsidRPr="00D11B9A" w:rsidRDefault="00FB2363" w:rsidP="00FB2363">
      <w:pPr>
        <w:keepNext/>
        <w:keepLines/>
        <w:spacing w:before="240" w:after="0" w:line="360" w:lineRule="auto"/>
        <w:outlineLvl w:val="0"/>
        <w:rPr>
          <w:rFonts w:ascii="Palatino Linotype" w:eastAsiaTheme="majorEastAsia" w:hAnsi="Palatino Linotype" w:cstheme="majorBidi"/>
          <w:b/>
          <w:sz w:val="24"/>
          <w:szCs w:val="24"/>
        </w:rPr>
      </w:pPr>
      <w:bookmarkStart w:id="0" w:name="_Toc506552627"/>
    </w:p>
    <w:p w:rsidR="00FB2363" w:rsidRPr="00D11B9A" w:rsidRDefault="00FB2363" w:rsidP="00FB2363">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r w:rsidRPr="00D11B9A">
        <w:rPr>
          <w:rFonts w:ascii="Palatino Linotype" w:eastAsiaTheme="majorEastAsia" w:hAnsi="Palatino Linotype" w:cstheme="majorBidi"/>
          <w:b/>
          <w:sz w:val="24"/>
          <w:szCs w:val="24"/>
        </w:rPr>
        <w:t>Consideraciones Generales.</w:t>
      </w:r>
      <w:bookmarkEnd w:id="0"/>
    </w:p>
    <w:p w:rsidR="00FB2363" w:rsidRPr="00D11B9A" w:rsidRDefault="00FB2363" w:rsidP="00FB2363">
      <w:pPr>
        <w:spacing w:after="0" w:line="360" w:lineRule="auto"/>
        <w:ind w:left="1080"/>
        <w:contextualSpacing/>
        <w:jc w:val="both"/>
        <w:rPr>
          <w:rFonts w:ascii="Palatino Linotype" w:hAnsi="Palatino Linotype" w:cs="Arial"/>
          <w:b/>
          <w:sz w:val="24"/>
          <w:szCs w:val="24"/>
        </w:rPr>
      </w:pPr>
    </w:p>
    <w:p w:rsidR="00FB2363" w:rsidRPr="00D11B9A" w:rsidRDefault="00FB2363" w:rsidP="00FB2363">
      <w:pPr>
        <w:numPr>
          <w:ilvl w:val="0"/>
          <w:numId w:val="1"/>
        </w:numPr>
        <w:spacing w:after="0" w:line="360" w:lineRule="auto"/>
        <w:ind w:left="426"/>
        <w:contextualSpacing/>
        <w:jc w:val="both"/>
        <w:rPr>
          <w:rFonts w:ascii="Palatino Linotype" w:hAnsi="Palatino Linotype" w:cs="Arial"/>
          <w:sz w:val="24"/>
          <w:szCs w:val="24"/>
        </w:rPr>
      </w:pPr>
      <w:r w:rsidRPr="00D11B9A">
        <w:rPr>
          <w:rFonts w:ascii="Palatino Linotype" w:eastAsia="Times New Roman" w:hAnsi="Palatino Linotype" w:cs="Arial"/>
          <w:sz w:val="24"/>
          <w:szCs w:val="24"/>
          <w:lang w:val="es-ES_tradnl"/>
        </w:rPr>
        <w:t xml:space="preserve">He concurrido con mi voto particular de la presente resolución emitida </w:t>
      </w:r>
      <w:r w:rsidRPr="00D11B9A">
        <w:rPr>
          <w:rFonts w:ascii="Palatino Linotype" w:hAnsi="Palatino Linotype" w:cs="Arial"/>
          <w:sz w:val="24"/>
          <w:szCs w:val="24"/>
        </w:rPr>
        <w:t xml:space="preserve">por el Pleno del Instituto de Transparencia, Acceso a la Información Pública y Protección de Datos Personales del Estado de México y Municipios, en su Trigésima Sexta Sesión Ordinaria de fecha tres (3) de octubre de dos mil dieciocho, en el recurso de revisión promovido por </w:t>
      </w:r>
      <w:r w:rsidR="00F84235" w:rsidRPr="00F84235">
        <w:rPr>
          <w:rFonts w:ascii="Palatino Linotype" w:hAnsi="Palatino Linotype" w:cs="Arial"/>
          <w:b/>
          <w:sz w:val="24"/>
          <w:szCs w:val="24"/>
          <w:highlight w:val="black"/>
        </w:rPr>
        <w:t>---------------------------</w:t>
      </w:r>
      <w:r w:rsidR="00F84235">
        <w:rPr>
          <w:rFonts w:ascii="Palatino Linotype" w:hAnsi="Palatino Linotype" w:cs="Arial"/>
          <w:b/>
          <w:sz w:val="24"/>
          <w:szCs w:val="24"/>
          <w:highlight w:val="black"/>
        </w:rPr>
        <w:t>--------</w:t>
      </w:r>
      <w:r w:rsidR="00F84235" w:rsidRPr="00F84235">
        <w:rPr>
          <w:rFonts w:ascii="Palatino Linotype" w:hAnsi="Palatino Linotype" w:cs="Arial"/>
          <w:b/>
          <w:sz w:val="24"/>
          <w:szCs w:val="24"/>
          <w:highlight w:val="black"/>
        </w:rPr>
        <w:t>-------------</w:t>
      </w:r>
      <w:r w:rsidRPr="00D11B9A">
        <w:rPr>
          <w:rFonts w:ascii="Palatino Linotype" w:hAnsi="Palatino Linotype" w:cs="Arial"/>
          <w:sz w:val="24"/>
          <w:szCs w:val="24"/>
        </w:rPr>
        <w:t>,</w:t>
      </w:r>
      <w:r w:rsidRPr="00D11B9A">
        <w:rPr>
          <w:rFonts w:ascii="Palatino Linotype" w:hAnsi="Palatino Linotype" w:cs="Arial"/>
          <w:b/>
          <w:sz w:val="24"/>
          <w:szCs w:val="24"/>
        </w:rPr>
        <w:t xml:space="preserve"> </w:t>
      </w:r>
      <w:r w:rsidRPr="00D11B9A">
        <w:rPr>
          <w:rFonts w:ascii="Palatino Linotype" w:hAnsi="Palatino Linotype" w:cs="Arial"/>
          <w:sz w:val="24"/>
          <w:szCs w:val="24"/>
        </w:rPr>
        <w:t>en contra de la respuesta de la</w:t>
      </w:r>
      <w:r w:rsidRPr="00D11B9A">
        <w:rPr>
          <w:rFonts w:ascii="Palatino Linotype" w:eastAsia="Times New Roman" w:hAnsi="Palatino Linotype" w:cs="Arial"/>
          <w:b/>
          <w:sz w:val="24"/>
          <w:szCs w:val="24"/>
          <w:lang w:val="es-ES" w:eastAsia="es-ES"/>
        </w:rPr>
        <w:t xml:space="preserve"> </w:t>
      </w:r>
      <w:r w:rsidRPr="00D11B9A">
        <w:rPr>
          <w:rFonts w:ascii="Palatino Linotype" w:eastAsia="Times New Roman" w:hAnsi="Palatino Linotype" w:cs="Arial"/>
          <w:b/>
          <w:sz w:val="24"/>
          <w:szCs w:val="24"/>
          <w:lang w:eastAsia="es-ES"/>
        </w:rPr>
        <w:t>Secretaría de Desarrollo Urbano y Metropolitano</w:t>
      </w:r>
      <w:r w:rsidRPr="00D11B9A">
        <w:rPr>
          <w:rFonts w:ascii="Palatino Linotype" w:eastAsia="Times New Roman" w:hAnsi="Palatino Linotype" w:cs="Arial"/>
          <w:b/>
          <w:sz w:val="24"/>
          <w:szCs w:val="24"/>
          <w:lang w:val="es-ES" w:eastAsia="es-ES"/>
        </w:rPr>
        <w:t xml:space="preserve">, </w:t>
      </w:r>
      <w:r w:rsidRPr="00D11B9A">
        <w:rPr>
          <w:rFonts w:ascii="Palatino Linotype" w:hAnsi="Palatino Linotype" w:cs="Arial"/>
          <w:sz w:val="24"/>
          <w:szCs w:val="24"/>
        </w:rPr>
        <w:t xml:space="preserve">procedimiento al que se le asignó el número de expediente </w:t>
      </w:r>
      <w:r w:rsidRPr="00D11B9A">
        <w:rPr>
          <w:rFonts w:ascii="Palatino Linotype" w:eastAsia="Times New Roman" w:hAnsi="Palatino Linotype" w:cs="Arial"/>
          <w:b/>
          <w:bCs/>
          <w:sz w:val="24"/>
          <w:szCs w:val="24"/>
          <w:lang w:eastAsia="es-ES"/>
        </w:rPr>
        <w:t>02879/INFOEM/IP/RR/2018.</w:t>
      </w:r>
    </w:p>
    <w:p w:rsidR="00FB2363" w:rsidRPr="00D11B9A" w:rsidRDefault="00FB2363" w:rsidP="00FB2363">
      <w:pPr>
        <w:spacing w:after="0" w:line="360" w:lineRule="auto"/>
        <w:ind w:left="426"/>
        <w:contextualSpacing/>
        <w:jc w:val="both"/>
        <w:rPr>
          <w:rFonts w:ascii="Palatino Linotype" w:hAnsi="Palatino Linotype" w:cs="Arial"/>
          <w:sz w:val="24"/>
          <w:szCs w:val="24"/>
        </w:rPr>
      </w:pPr>
    </w:p>
    <w:p w:rsidR="00FB2363" w:rsidRPr="00D11B9A" w:rsidRDefault="00FB2363" w:rsidP="00FB2363">
      <w:pPr>
        <w:numPr>
          <w:ilvl w:val="0"/>
          <w:numId w:val="1"/>
        </w:numPr>
        <w:spacing w:before="240" w:after="240" w:line="360" w:lineRule="auto"/>
        <w:ind w:right="49"/>
        <w:contextualSpacing/>
        <w:jc w:val="both"/>
        <w:rPr>
          <w:rFonts w:ascii="Palatino Linotype" w:hAnsi="Palatino Linotype" w:cs="Arial"/>
          <w:sz w:val="24"/>
          <w:szCs w:val="24"/>
        </w:rPr>
      </w:pPr>
      <w:r w:rsidRPr="00D11B9A">
        <w:rPr>
          <w:rFonts w:ascii="Palatino Linotype" w:hAnsi="Palatino Linotype" w:cs="Arial"/>
          <w:color w:val="000000" w:themeColor="text1"/>
          <w:sz w:val="24"/>
          <w:szCs w:val="24"/>
          <w:lang w:val="es-ES"/>
        </w:rPr>
        <w:t xml:space="preserve">La resolución puntualmente determina </w:t>
      </w:r>
      <w:r w:rsidRPr="00D11B9A">
        <w:rPr>
          <w:rFonts w:ascii="Palatino Linotype" w:hAnsi="Palatino Linotype" w:cs="Arial"/>
          <w:b/>
          <w:color w:val="000000" w:themeColor="text1"/>
          <w:sz w:val="24"/>
          <w:szCs w:val="24"/>
          <w:lang w:val="es-ES"/>
        </w:rPr>
        <w:t>MODIFICAR</w:t>
      </w:r>
      <w:r w:rsidRPr="00D11B9A">
        <w:rPr>
          <w:rFonts w:ascii="Palatino Linotype" w:hAnsi="Palatino Linotype" w:cs="Arial"/>
          <w:color w:val="000000" w:themeColor="text1"/>
          <w:sz w:val="24"/>
          <w:szCs w:val="24"/>
          <w:lang w:val="es-ES"/>
        </w:rPr>
        <w:t xml:space="preserve"> la respuesta del Sujeto Obligado y </w:t>
      </w:r>
      <w:r w:rsidRPr="00D11B9A">
        <w:rPr>
          <w:rFonts w:ascii="Palatino Linotype" w:hAnsi="Palatino Linotype" w:cs="Arial"/>
          <w:b/>
          <w:color w:val="000000" w:themeColor="text1"/>
          <w:sz w:val="24"/>
          <w:szCs w:val="24"/>
          <w:lang w:val="es-ES"/>
        </w:rPr>
        <w:t>ORDENAR</w:t>
      </w:r>
      <w:r w:rsidRPr="00D11B9A">
        <w:rPr>
          <w:rFonts w:ascii="Palatino Linotype" w:hAnsi="Palatino Linotype" w:cs="Arial"/>
          <w:color w:val="000000" w:themeColor="text1"/>
          <w:sz w:val="24"/>
          <w:szCs w:val="24"/>
          <w:lang w:val="es-ES"/>
        </w:rPr>
        <w:t xml:space="preserve"> la entrega</w:t>
      </w:r>
      <w:r w:rsidRPr="00D11B9A">
        <w:rPr>
          <w:rFonts w:ascii="Palatino Linotype" w:hAnsi="Palatino Linotype" w:cs="Arial"/>
          <w:sz w:val="24"/>
          <w:szCs w:val="24"/>
        </w:rPr>
        <w:t xml:space="preserve"> de la información, sin embargo, mi voto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FB2363" w:rsidRPr="00D11B9A" w:rsidRDefault="00FB2363" w:rsidP="00FB2363">
      <w:pPr>
        <w:ind w:left="720"/>
        <w:contextualSpacing/>
        <w:rPr>
          <w:rFonts w:ascii="Palatino Linotype" w:hAnsi="Palatino Linotype" w:cs="Arial"/>
          <w:sz w:val="24"/>
          <w:szCs w:val="24"/>
        </w:rPr>
      </w:pPr>
    </w:p>
    <w:p w:rsidR="00FB2363" w:rsidRPr="00D11B9A" w:rsidRDefault="00FB2363" w:rsidP="00FB2363">
      <w:pPr>
        <w:numPr>
          <w:ilvl w:val="0"/>
          <w:numId w:val="1"/>
        </w:numPr>
        <w:spacing w:line="360" w:lineRule="auto"/>
        <w:contextualSpacing/>
        <w:jc w:val="both"/>
        <w:rPr>
          <w:rFonts w:ascii="Palatino Linotype" w:hAnsi="Palatino Linotype" w:cs="Arial"/>
          <w:sz w:val="24"/>
          <w:szCs w:val="24"/>
        </w:rPr>
      </w:pPr>
      <w:r w:rsidRPr="00D11B9A">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FB2363" w:rsidRPr="00D11B9A" w:rsidRDefault="00FB2363" w:rsidP="00FB2363">
      <w:pPr>
        <w:ind w:left="720"/>
        <w:contextualSpacing/>
        <w:rPr>
          <w:rFonts w:ascii="Palatino Linotype" w:hAnsi="Palatino Linotype" w:cs="Arial"/>
          <w:sz w:val="24"/>
          <w:szCs w:val="24"/>
        </w:rPr>
      </w:pPr>
    </w:p>
    <w:p w:rsidR="00FB2363" w:rsidRPr="00D11B9A" w:rsidRDefault="00FB2363" w:rsidP="00FB2363">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1" w:name="_Toc506552628"/>
      <w:r w:rsidRPr="00D11B9A">
        <w:rPr>
          <w:rFonts w:ascii="Palatino Linotype" w:eastAsiaTheme="majorEastAsia" w:hAnsi="Palatino Linotype" w:cstheme="majorBidi"/>
          <w:b/>
          <w:sz w:val="24"/>
          <w:szCs w:val="24"/>
        </w:rPr>
        <w:t>De los requerimientos planteados en el recurso de revisión.</w:t>
      </w:r>
      <w:bookmarkEnd w:id="1"/>
    </w:p>
    <w:p w:rsidR="00FB2363" w:rsidRPr="00D11B9A" w:rsidRDefault="00FB2363" w:rsidP="00FB2363">
      <w:pPr>
        <w:spacing w:line="360" w:lineRule="auto"/>
        <w:ind w:left="1080"/>
        <w:contextualSpacing/>
        <w:jc w:val="both"/>
        <w:rPr>
          <w:rFonts w:ascii="Palatino Linotype" w:hAnsi="Palatino Linotype" w:cs="Arial"/>
          <w:sz w:val="24"/>
          <w:szCs w:val="24"/>
        </w:rPr>
      </w:pPr>
    </w:p>
    <w:p w:rsidR="00FB2363" w:rsidRPr="00D11B9A" w:rsidRDefault="00FB2363" w:rsidP="00FB2363">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D11B9A">
        <w:rPr>
          <w:rFonts w:ascii="Palatino Linotype" w:hAnsi="Palatino Linotype" w:cs="Arial"/>
          <w:sz w:val="24"/>
          <w:szCs w:val="24"/>
        </w:rPr>
        <w:t>El particular solicitó al Sujeto Obligado la siguiente información:</w:t>
      </w:r>
    </w:p>
    <w:p w:rsidR="00FB2363" w:rsidRPr="00D11B9A" w:rsidRDefault="00FB2363" w:rsidP="00FB2363">
      <w:pPr>
        <w:spacing w:after="0" w:line="360" w:lineRule="auto"/>
        <w:ind w:left="360"/>
        <w:contextualSpacing/>
        <w:jc w:val="both"/>
        <w:rPr>
          <w:rFonts w:ascii="Palatino Linotype" w:eastAsia="Times New Roman" w:hAnsi="Palatino Linotype" w:cs="Times New Roman"/>
          <w:i/>
          <w:sz w:val="24"/>
          <w:szCs w:val="24"/>
          <w:lang w:val="es-ES_tradnl" w:eastAsia="es-ES"/>
        </w:rPr>
      </w:pPr>
      <w:r w:rsidRPr="00D11B9A">
        <w:rPr>
          <w:rFonts w:ascii="Palatino Linotype" w:eastAsia="Times New Roman" w:hAnsi="Palatino Linotype" w:cs="Times New Roman"/>
          <w:i/>
          <w:sz w:val="24"/>
          <w:szCs w:val="24"/>
          <w:lang w:val="es-ES_tradnl" w:eastAsia="es-ES"/>
        </w:rPr>
        <w:t xml:space="preserve"> </w:t>
      </w:r>
    </w:p>
    <w:p w:rsidR="00FB2363" w:rsidRPr="00D11B9A" w:rsidRDefault="00FB2363" w:rsidP="00FB2363">
      <w:pPr>
        <w:spacing w:before="240" w:after="240" w:line="276" w:lineRule="auto"/>
        <w:ind w:left="851" w:right="616"/>
        <w:jc w:val="both"/>
        <w:rPr>
          <w:rFonts w:ascii="Palatino Linotype" w:eastAsia="Times New Roman" w:hAnsi="Palatino Linotype" w:cs="Arial"/>
          <w:i/>
          <w:lang w:val="es-ES" w:eastAsia="es-ES"/>
        </w:rPr>
      </w:pPr>
      <w:r w:rsidRPr="00D11B9A">
        <w:rPr>
          <w:rFonts w:ascii="Palatino Linotype" w:eastAsia="Times New Roman" w:hAnsi="Palatino Linotype" w:cs="Arial"/>
          <w:i/>
          <w:lang w:eastAsia="es-ES"/>
        </w:rPr>
        <w:t>““</w:t>
      </w:r>
      <w:r w:rsidRPr="00D11B9A">
        <w:rPr>
          <w:rFonts w:ascii="Palatino Linotype" w:eastAsia="Times New Roman" w:hAnsi="Palatino Linotype" w:cs="Arial"/>
          <w:i/>
          <w:lang w:val="es-ES" w:eastAsia="es-ES"/>
        </w:rPr>
        <w:t xml:space="preserve">Solicito los requisitos sobre la </w:t>
      </w:r>
      <w:proofErr w:type="spellStart"/>
      <w:r w:rsidRPr="00D11B9A">
        <w:rPr>
          <w:rFonts w:ascii="Palatino Linotype" w:eastAsia="Times New Roman" w:hAnsi="Palatino Linotype" w:cs="Arial"/>
          <w:i/>
          <w:lang w:val="es-ES" w:eastAsia="es-ES"/>
        </w:rPr>
        <w:t>subdivision</w:t>
      </w:r>
      <w:proofErr w:type="spellEnd"/>
      <w:r w:rsidRPr="00D11B9A">
        <w:rPr>
          <w:rFonts w:ascii="Palatino Linotype" w:eastAsia="Times New Roman" w:hAnsi="Palatino Linotype" w:cs="Arial"/>
          <w:i/>
          <w:lang w:val="es-ES" w:eastAsia="es-ES"/>
        </w:rPr>
        <w:t xml:space="preserve"> de predios, oficina ante la cual se deben presentar, su domicilio oficial, </w:t>
      </w:r>
      <w:proofErr w:type="spellStart"/>
      <w:r w:rsidRPr="00D11B9A">
        <w:rPr>
          <w:rFonts w:ascii="Palatino Linotype" w:eastAsia="Times New Roman" w:hAnsi="Palatino Linotype" w:cs="Arial"/>
          <w:i/>
          <w:lang w:val="es-ES" w:eastAsia="es-ES"/>
        </w:rPr>
        <w:t>el.nombre</w:t>
      </w:r>
      <w:proofErr w:type="spellEnd"/>
      <w:r w:rsidRPr="00D11B9A">
        <w:rPr>
          <w:rFonts w:ascii="Palatino Linotype" w:eastAsia="Times New Roman" w:hAnsi="Palatino Linotype" w:cs="Arial"/>
          <w:i/>
          <w:lang w:val="es-ES" w:eastAsia="es-ES"/>
        </w:rPr>
        <w:t xml:space="preserve"> de su titular y/o listado del personal q se desempeña en esa </w:t>
      </w:r>
      <w:proofErr w:type="spellStart"/>
      <w:r w:rsidRPr="00D11B9A">
        <w:rPr>
          <w:rFonts w:ascii="Palatino Linotype" w:eastAsia="Times New Roman" w:hAnsi="Palatino Linotype" w:cs="Arial"/>
          <w:i/>
          <w:lang w:val="es-ES" w:eastAsia="es-ES"/>
        </w:rPr>
        <w:t>area</w:t>
      </w:r>
      <w:proofErr w:type="spellEnd"/>
      <w:r w:rsidRPr="00D11B9A">
        <w:rPr>
          <w:rFonts w:ascii="Palatino Linotype" w:eastAsia="Times New Roman" w:hAnsi="Palatino Linotype" w:cs="Arial"/>
          <w:i/>
          <w:lang w:val="es-ES" w:eastAsia="es-ES"/>
        </w:rPr>
        <w:t xml:space="preserve"> gubernamental, horarios de </w:t>
      </w:r>
      <w:proofErr w:type="spellStart"/>
      <w:r w:rsidRPr="00D11B9A">
        <w:rPr>
          <w:rFonts w:ascii="Palatino Linotype" w:eastAsia="Times New Roman" w:hAnsi="Palatino Linotype" w:cs="Arial"/>
          <w:i/>
          <w:lang w:val="es-ES" w:eastAsia="es-ES"/>
        </w:rPr>
        <w:t>atencion</w:t>
      </w:r>
      <w:proofErr w:type="spellEnd"/>
      <w:r w:rsidRPr="00D11B9A">
        <w:rPr>
          <w:rFonts w:ascii="Palatino Linotype" w:eastAsia="Times New Roman" w:hAnsi="Palatino Linotype" w:cs="Arial"/>
          <w:i/>
          <w:lang w:val="es-ES" w:eastAsia="es-ES"/>
        </w:rPr>
        <w:t>.” (</w:t>
      </w:r>
      <w:proofErr w:type="gramStart"/>
      <w:r w:rsidRPr="00D11B9A">
        <w:rPr>
          <w:rFonts w:ascii="Palatino Linotype" w:eastAsia="Times New Roman" w:hAnsi="Palatino Linotype" w:cs="Arial"/>
          <w:i/>
          <w:lang w:val="es-ES" w:eastAsia="es-ES"/>
        </w:rPr>
        <w:t>sic</w:t>
      </w:r>
      <w:proofErr w:type="gramEnd"/>
      <w:r w:rsidRPr="00D11B9A">
        <w:rPr>
          <w:rFonts w:ascii="Palatino Linotype" w:eastAsia="Times New Roman" w:hAnsi="Palatino Linotype" w:cs="Arial"/>
          <w:i/>
          <w:lang w:val="es-ES" w:eastAsia="es-ES"/>
        </w:rPr>
        <w:t>)</w:t>
      </w:r>
    </w:p>
    <w:p w:rsidR="00FB2363" w:rsidRPr="00D11B9A" w:rsidRDefault="00FB2363" w:rsidP="00FB2363">
      <w:pPr>
        <w:numPr>
          <w:ilvl w:val="0"/>
          <w:numId w:val="1"/>
        </w:numPr>
        <w:spacing w:after="0" w:line="360" w:lineRule="auto"/>
        <w:ind w:left="426" w:right="49" w:hanging="426"/>
        <w:contextualSpacing/>
        <w:jc w:val="both"/>
        <w:rPr>
          <w:rFonts w:ascii="Palatino Linotype" w:hAnsi="Palatino Linotype" w:cs="Arial"/>
          <w:sz w:val="24"/>
          <w:szCs w:val="24"/>
        </w:rPr>
      </w:pPr>
      <w:r w:rsidRPr="00D11B9A">
        <w:rPr>
          <w:rFonts w:ascii="Palatino Linotype" w:hAnsi="Palatino Linotype" w:cs="Arial"/>
          <w:sz w:val="24"/>
          <w:szCs w:val="24"/>
        </w:rPr>
        <w:t>El Sujeto Obligado dio como re</w:t>
      </w:r>
      <w:r w:rsidR="00537B40" w:rsidRPr="00D11B9A">
        <w:rPr>
          <w:rFonts w:ascii="Palatino Linotype" w:hAnsi="Palatino Linotype" w:cs="Arial"/>
          <w:sz w:val="24"/>
          <w:szCs w:val="24"/>
        </w:rPr>
        <w:t>spuesta</w:t>
      </w:r>
      <w:r w:rsidRPr="00D11B9A">
        <w:rPr>
          <w:rFonts w:ascii="Palatino Linotype" w:hAnsi="Palatino Linotype" w:cs="Arial"/>
          <w:sz w:val="24"/>
          <w:szCs w:val="24"/>
        </w:rPr>
        <w:t xml:space="preserve"> en términos generales lo correspondiente:</w:t>
      </w:r>
    </w:p>
    <w:p w:rsidR="00537B40" w:rsidRPr="00D11B9A" w:rsidRDefault="00AD1646" w:rsidP="00AD1646">
      <w:pPr>
        <w:spacing w:after="0" w:line="360" w:lineRule="auto"/>
        <w:ind w:left="426" w:right="616"/>
        <w:contextualSpacing/>
        <w:jc w:val="both"/>
        <w:rPr>
          <w:rFonts w:ascii="Palatino Linotype" w:hAnsi="Palatino Linotype" w:cs="Arial"/>
          <w:i/>
        </w:rPr>
      </w:pPr>
      <w:r w:rsidRPr="00D11B9A">
        <w:rPr>
          <w:rFonts w:ascii="Palatino Linotype" w:hAnsi="Palatino Linotype" w:cs="Arial"/>
          <w:i/>
        </w:rPr>
        <w:t>“…DE TENER ALGUNA DUDA O ACLARACIÓN FAVOR DE COMUNICARSE A LA UNIDAD DE INFORMACIÓN AL TELÉFONO (01 722) 275 79 11.” (Sic)</w:t>
      </w:r>
    </w:p>
    <w:p w:rsidR="00AD1646" w:rsidRPr="00D11B9A" w:rsidRDefault="00AD1646" w:rsidP="00AD1646">
      <w:pPr>
        <w:spacing w:after="0" w:line="360" w:lineRule="auto"/>
        <w:ind w:left="426" w:right="49"/>
        <w:contextualSpacing/>
        <w:jc w:val="both"/>
        <w:rPr>
          <w:rFonts w:ascii="Palatino Linotype" w:hAnsi="Palatino Linotype" w:cs="Arial"/>
          <w:i/>
        </w:rPr>
      </w:pPr>
    </w:p>
    <w:p w:rsidR="00AD1646" w:rsidRPr="00D11B9A" w:rsidRDefault="004103E9" w:rsidP="00AD1646">
      <w:pPr>
        <w:spacing w:after="0" w:line="360" w:lineRule="auto"/>
        <w:ind w:left="426" w:right="616"/>
        <w:contextualSpacing/>
        <w:jc w:val="both"/>
        <w:rPr>
          <w:rFonts w:ascii="Palatino Linotype" w:hAnsi="Palatino Linotype" w:cs="Arial"/>
          <w:i/>
        </w:rPr>
      </w:pPr>
      <w:hyperlink r:id="rId7" w:tgtFrame="_blank" w:history="1">
        <w:r w:rsidR="00AD1646" w:rsidRPr="00D11B9A">
          <w:rPr>
            <w:rFonts w:ascii="Palatino Linotype" w:hAnsi="Palatino Linotype"/>
            <w:b/>
            <w:i/>
          </w:rPr>
          <w:t>OFICIO SAIMEX 205.pdf</w:t>
        </w:r>
      </w:hyperlink>
      <w:r w:rsidR="00AD1646" w:rsidRPr="00D11B9A">
        <w:rPr>
          <w:rFonts w:ascii="Palatino Linotype" w:hAnsi="Palatino Linotype" w:cs="Arial"/>
          <w:b/>
          <w:i/>
        </w:rPr>
        <w:t>:</w:t>
      </w:r>
      <w:r w:rsidR="00AD1646" w:rsidRPr="00D11B9A">
        <w:rPr>
          <w:rFonts w:ascii="Palatino Linotype" w:hAnsi="Palatino Linotype" w:cs="Arial"/>
          <w:i/>
        </w:rPr>
        <w:t xml:space="preserve"> Oficio número 224020000/2166/2018 de fecha 2 de octubre de 2018, suscrito por el Director General de Operación  Urbana Servidor Público Habilitado, quien informa que derivado de la respuesta emitida por la Dirección Regional Valle de Toluca, la información solicitada se encuentra publicada en la Ventanilla Electrónica del Gobierno del Estado de México, mediante la Cédula de Registro del Trámite o servicio denominada “Subdivisión de Predios” en la liga </w:t>
      </w:r>
      <w:hyperlink r:id="rId8" w:history="1">
        <w:r w:rsidR="0027260C" w:rsidRPr="00D11B9A">
          <w:rPr>
            <w:rStyle w:val="Hipervnculo"/>
            <w:rFonts w:ascii="Palatino Linotype" w:hAnsi="Palatino Linotype" w:cs="Arial"/>
            <w:i/>
          </w:rPr>
          <w:t>http://sistemas2.edomex.gob.mx/TramitesyServicios/Tramite?tram=1159&amp;cont=0</w:t>
        </w:r>
      </w:hyperlink>
      <w:r w:rsidR="0027260C" w:rsidRPr="00D11B9A">
        <w:rPr>
          <w:rFonts w:ascii="Palatino Linotype" w:hAnsi="Palatino Linotype" w:cs="Arial"/>
          <w:i/>
        </w:rPr>
        <w:t>, donde podrá consultar requisitos, servidores públicos titulares de oficinas dónde podrá realizar el trámite, dirección, teléfono y horarios de las mismas, además de pasos a seguir, costos, documentos a obtener, tiempos, formatos, preguntas frecuentes e información adicional referente al tramité.</w:t>
      </w:r>
    </w:p>
    <w:p w:rsidR="00FB2363" w:rsidRPr="00D11B9A" w:rsidRDefault="00AD1646" w:rsidP="0027260C">
      <w:pPr>
        <w:spacing w:after="0" w:line="360" w:lineRule="auto"/>
        <w:ind w:left="426" w:right="616"/>
        <w:contextualSpacing/>
        <w:jc w:val="both"/>
        <w:rPr>
          <w:rFonts w:ascii="Palatino Linotype" w:hAnsi="Palatino Linotype" w:cs="Arial"/>
          <w:i/>
        </w:rPr>
      </w:pPr>
      <w:r w:rsidRPr="00D11B9A">
        <w:rPr>
          <w:rFonts w:ascii="Palatino Linotype" w:hAnsi="Palatino Linotype" w:cs="Arial"/>
          <w:b/>
          <w:i/>
        </w:rPr>
        <w:t> </w:t>
      </w:r>
      <w:r w:rsidRPr="00D11B9A">
        <w:rPr>
          <w:rFonts w:ascii="Palatino Linotype" w:hAnsi="Palatino Linotype" w:cs="Arial"/>
          <w:b/>
          <w:i/>
        </w:rPr>
        <w:br/>
      </w:r>
      <w:hyperlink r:id="rId9" w:tgtFrame="_blank" w:history="1">
        <w:r w:rsidRPr="00D11B9A">
          <w:rPr>
            <w:rFonts w:ascii="Palatino Linotype" w:hAnsi="Palatino Linotype"/>
            <w:b/>
            <w:i/>
          </w:rPr>
          <w:t>RESPUESTA_00205_IP_2018 SEDUM.pdf</w:t>
        </w:r>
      </w:hyperlink>
      <w:r w:rsidRPr="00D11B9A">
        <w:rPr>
          <w:rFonts w:ascii="Palatino Linotype" w:hAnsi="Palatino Linotype" w:cs="Arial"/>
          <w:i/>
        </w:rPr>
        <w:t>:</w:t>
      </w:r>
      <w:r w:rsidR="0027260C" w:rsidRPr="00D11B9A">
        <w:rPr>
          <w:rFonts w:ascii="Palatino Linotype" w:hAnsi="Palatino Linotype" w:cs="Arial"/>
          <w:i/>
        </w:rPr>
        <w:t xml:space="preserve"> Oficio número 224006000/519/2018 de fecha 14 de agosto de 2018, suscrito por el Responsable de la Unidad de Transparencia, quien informa a la particular la respuesta que fue emitida por la Dirección Regional Valle de Toluca.</w:t>
      </w:r>
    </w:p>
    <w:p w:rsidR="00FB2363" w:rsidRPr="00D11B9A" w:rsidRDefault="00FB2363" w:rsidP="00FB2363">
      <w:pPr>
        <w:spacing w:before="240" w:after="240" w:line="360" w:lineRule="auto"/>
        <w:ind w:left="426" w:right="616" w:hanging="426"/>
        <w:jc w:val="both"/>
        <w:rPr>
          <w:rFonts w:ascii="Palatino Linotype" w:eastAsia="Times New Roman" w:hAnsi="Palatino Linotype" w:cs="Arial"/>
          <w:i/>
          <w:lang w:val="es-ES" w:eastAsia="es-ES"/>
        </w:rPr>
      </w:pPr>
      <w:r w:rsidRPr="00D11B9A">
        <w:rPr>
          <w:rFonts w:ascii="Palatino Linotype" w:hAnsi="Palatino Linotype" w:cs="Arial"/>
          <w:i/>
        </w:rPr>
        <w:t xml:space="preserve">    </w:t>
      </w:r>
    </w:p>
    <w:p w:rsidR="00FB2363" w:rsidRPr="00D11B9A" w:rsidRDefault="00FB2363" w:rsidP="00FB2363">
      <w:pPr>
        <w:numPr>
          <w:ilvl w:val="0"/>
          <w:numId w:val="1"/>
        </w:numPr>
        <w:spacing w:before="240" w:after="240" w:line="360" w:lineRule="auto"/>
        <w:contextualSpacing/>
        <w:jc w:val="both"/>
        <w:rPr>
          <w:rFonts w:ascii="Palatino Linotype" w:hAnsi="Palatino Linotype" w:cs="Arial"/>
        </w:rPr>
      </w:pPr>
      <w:r w:rsidRPr="00D11B9A">
        <w:rPr>
          <w:rFonts w:ascii="Palatino Linotype" w:hAnsi="Palatino Linotype" w:cs="Arial"/>
          <w:sz w:val="24"/>
          <w:szCs w:val="24"/>
        </w:rPr>
        <w:t>En ese sentido,</w:t>
      </w:r>
      <w:r w:rsidRPr="00D11B9A">
        <w:rPr>
          <w:rFonts w:ascii="Palatino Linotype" w:hAnsi="Palatino Linotype" w:cs="Arial"/>
          <w:b/>
        </w:rPr>
        <w:t xml:space="preserve"> </w:t>
      </w:r>
      <w:r w:rsidRPr="00D11B9A">
        <w:rPr>
          <w:rFonts w:ascii="Palatino Linotype" w:hAnsi="Palatino Linotype" w:cs="Arial"/>
          <w:sz w:val="24"/>
        </w:rPr>
        <w:t>l</w:t>
      </w:r>
      <w:r w:rsidR="0027260C" w:rsidRPr="00D11B9A">
        <w:rPr>
          <w:rFonts w:ascii="Palatino Linotype" w:hAnsi="Palatino Linotype" w:cs="Arial"/>
          <w:sz w:val="24"/>
        </w:rPr>
        <w:t>a</w:t>
      </w:r>
      <w:r w:rsidRPr="00D11B9A">
        <w:rPr>
          <w:rFonts w:ascii="Palatino Linotype" w:hAnsi="Palatino Linotype" w:cs="Arial"/>
          <w:sz w:val="24"/>
        </w:rPr>
        <w:t xml:space="preserve"> particular se inconformó en cuanto a la respuesta y señala como motivos de inconformidad </w:t>
      </w:r>
      <w:r w:rsidRPr="00D11B9A">
        <w:rPr>
          <w:rFonts w:ascii="Palatino Linotype" w:eastAsia="Times New Roman" w:hAnsi="Palatino Linotype" w:cs="Times New Roman"/>
          <w:i/>
          <w:color w:val="000000"/>
          <w:sz w:val="24"/>
          <w:szCs w:val="24"/>
          <w:lang w:val="es-ES" w:eastAsia="es-ES"/>
        </w:rPr>
        <w:t>“</w:t>
      </w:r>
      <w:r w:rsidR="0027260C" w:rsidRPr="00D11B9A">
        <w:rPr>
          <w:rFonts w:ascii="Palatino Linotype" w:eastAsia="Times New Roman" w:hAnsi="Palatino Linotype" w:cs="Times New Roman"/>
          <w:i/>
          <w:color w:val="000000"/>
          <w:sz w:val="24"/>
          <w:szCs w:val="24"/>
          <w:lang w:eastAsia="es-ES"/>
        </w:rPr>
        <w:t xml:space="preserve">No </w:t>
      </w:r>
      <w:proofErr w:type="spellStart"/>
      <w:r w:rsidR="0027260C" w:rsidRPr="00D11B9A">
        <w:rPr>
          <w:rFonts w:ascii="Palatino Linotype" w:eastAsia="Times New Roman" w:hAnsi="Palatino Linotype" w:cs="Times New Roman"/>
          <w:i/>
          <w:color w:val="000000"/>
          <w:sz w:val="24"/>
          <w:szCs w:val="24"/>
          <w:lang w:eastAsia="es-ES"/>
        </w:rPr>
        <w:t>vrinda</w:t>
      </w:r>
      <w:proofErr w:type="spellEnd"/>
      <w:r w:rsidR="0027260C" w:rsidRPr="00D11B9A">
        <w:rPr>
          <w:rFonts w:ascii="Palatino Linotype" w:eastAsia="Times New Roman" w:hAnsi="Palatino Linotype" w:cs="Times New Roman"/>
          <w:i/>
          <w:color w:val="000000"/>
          <w:sz w:val="24"/>
          <w:szCs w:val="24"/>
          <w:lang w:eastAsia="es-ES"/>
        </w:rPr>
        <w:t xml:space="preserve"> el nombre del titular, domicilio oficial ni proporciona a los </w:t>
      </w:r>
      <w:proofErr w:type="spellStart"/>
      <w:r w:rsidR="0027260C" w:rsidRPr="00D11B9A">
        <w:rPr>
          <w:rFonts w:ascii="Palatino Linotype" w:eastAsia="Times New Roman" w:hAnsi="Palatino Linotype" w:cs="Times New Roman"/>
          <w:i/>
          <w:color w:val="000000"/>
          <w:sz w:val="24"/>
          <w:szCs w:val="24"/>
          <w:lang w:eastAsia="es-ES"/>
        </w:rPr>
        <w:t>serbidores</w:t>
      </w:r>
      <w:proofErr w:type="spellEnd"/>
      <w:r w:rsidR="0027260C" w:rsidRPr="00D11B9A">
        <w:rPr>
          <w:rFonts w:ascii="Palatino Linotype" w:eastAsia="Times New Roman" w:hAnsi="Palatino Linotype" w:cs="Times New Roman"/>
          <w:i/>
          <w:color w:val="000000"/>
          <w:sz w:val="24"/>
          <w:szCs w:val="24"/>
          <w:lang w:eastAsia="es-ES"/>
        </w:rPr>
        <w:t xml:space="preserve"> públicos que se desempeñan en esa </w:t>
      </w:r>
      <w:proofErr w:type="spellStart"/>
      <w:r w:rsidR="0027260C" w:rsidRPr="00D11B9A">
        <w:rPr>
          <w:rFonts w:ascii="Palatino Linotype" w:eastAsia="Times New Roman" w:hAnsi="Palatino Linotype" w:cs="Times New Roman"/>
          <w:i/>
          <w:color w:val="000000"/>
          <w:sz w:val="24"/>
          <w:szCs w:val="24"/>
          <w:lang w:eastAsia="es-ES"/>
        </w:rPr>
        <w:t>area</w:t>
      </w:r>
      <w:proofErr w:type="spellEnd"/>
      <w:r w:rsidR="0027260C" w:rsidRPr="00D11B9A">
        <w:rPr>
          <w:rFonts w:ascii="Palatino Linotype" w:eastAsia="Times New Roman" w:hAnsi="Palatino Linotype" w:cs="Times New Roman"/>
          <w:i/>
          <w:color w:val="000000"/>
          <w:sz w:val="24"/>
          <w:szCs w:val="24"/>
          <w:lang w:eastAsia="es-ES"/>
        </w:rPr>
        <w:t xml:space="preserve"> gubernamental</w:t>
      </w:r>
      <w:r w:rsidR="0027260C" w:rsidRPr="00D11B9A">
        <w:rPr>
          <w:rFonts w:ascii="Palatino Linotype" w:eastAsia="Times New Roman" w:hAnsi="Palatino Linotype" w:cs="Times New Roman"/>
          <w:i/>
          <w:color w:val="000000"/>
          <w:sz w:val="24"/>
          <w:szCs w:val="24"/>
          <w:lang w:val="es-ES" w:eastAsia="es-ES"/>
        </w:rPr>
        <w:t>”</w:t>
      </w:r>
      <w:r w:rsidRPr="00D11B9A">
        <w:rPr>
          <w:rFonts w:ascii="Palatino Linotype" w:eastAsia="Times New Roman" w:hAnsi="Palatino Linotype" w:cs="Arial"/>
          <w:i/>
          <w:spacing w:val="-6"/>
          <w:lang w:eastAsia="es-MX"/>
        </w:rPr>
        <w:t xml:space="preserve">, </w:t>
      </w:r>
      <w:r w:rsidRPr="00D11B9A">
        <w:rPr>
          <w:rFonts w:ascii="Palatino Linotype" w:hAnsi="Palatino Linotype" w:cs="Arial"/>
          <w:sz w:val="24"/>
        </w:rPr>
        <w:t>por lo que la respuesta le resulta incompleta.</w:t>
      </w:r>
    </w:p>
    <w:p w:rsidR="00FB2363" w:rsidRPr="00D11B9A" w:rsidRDefault="00FB2363" w:rsidP="00FB2363">
      <w:pPr>
        <w:spacing w:before="240" w:after="240" w:line="360" w:lineRule="auto"/>
        <w:ind w:left="360"/>
        <w:contextualSpacing/>
        <w:jc w:val="both"/>
        <w:rPr>
          <w:rFonts w:ascii="Palatino Linotype" w:hAnsi="Palatino Linotype" w:cs="Arial"/>
          <w:i/>
          <w:sz w:val="24"/>
          <w:szCs w:val="24"/>
        </w:rPr>
      </w:pPr>
    </w:p>
    <w:p w:rsidR="00FB2363" w:rsidRPr="00D11B9A" w:rsidRDefault="00FB2363" w:rsidP="00FB2363">
      <w:pPr>
        <w:numPr>
          <w:ilvl w:val="0"/>
          <w:numId w:val="1"/>
        </w:numPr>
        <w:spacing w:after="0" w:line="360" w:lineRule="auto"/>
        <w:contextualSpacing/>
        <w:jc w:val="both"/>
        <w:rPr>
          <w:rFonts w:ascii="Palatino Linotype" w:hAnsi="Palatino Linotype" w:cs="Arial"/>
          <w:sz w:val="24"/>
          <w:szCs w:val="24"/>
        </w:rPr>
      </w:pPr>
      <w:r w:rsidRPr="00D11B9A">
        <w:rPr>
          <w:rFonts w:ascii="Palatino Linotype" w:hAnsi="Palatino Linotype" w:cs="Arial"/>
          <w:sz w:val="24"/>
          <w:szCs w:val="24"/>
        </w:rPr>
        <w:lastRenderedPageBreak/>
        <w:t>Si bien es de destacar, que el Sujeto Obligado atiende la solicitud, sin embargo, en el estudio y desarrollo de dicha resolución fueron invocados los llamados “actos consentidos”, tal y como se observa en las siguientes líneas de la resolución en comento:</w:t>
      </w:r>
    </w:p>
    <w:p w:rsidR="00C50F12" w:rsidRPr="00D11B9A" w:rsidRDefault="00C50F12" w:rsidP="00C50F12">
      <w:pPr>
        <w:spacing w:before="240" w:after="240" w:line="360" w:lineRule="auto"/>
        <w:ind w:left="360" w:right="616"/>
        <w:jc w:val="both"/>
        <w:rPr>
          <w:rFonts w:ascii="Palatino Linotype" w:eastAsia="Times New Roman" w:hAnsi="Palatino Linotype" w:cs="Arial"/>
          <w:i/>
          <w:sz w:val="24"/>
          <w:szCs w:val="24"/>
          <w:lang w:eastAsia="es-MX"/>
        </w:rPr>
      </w:pPr>
      <w:r w:rsidRPr="00D11B9A">
        <w:rPr>
          <w:rFonts w:ascii="Palatino Linotype" w:eastAsia="Times New Roman" w:hAnsi="Palatino Linotype" w:cs="Arial"/>
          <w:i/>
          <w:sz w:val="24"/>
          <w:szCs w:val="24"/>
          <w:lang w:eastAsia="es-MX"/>
        </w:rPr>
        <w:t>De análisis al agravio se tiene que la particular se inconformó de la respuesta dada, respecto a que no se le entregó: el nombre del titular, domicilio oficial, y que no se proporcionó el listados de los servidores públicos que se desempeñan en esa área gubernamental, por lo que se concluye que la materia de los conceptos de inconformidad es la entrega de información incompleta, sin soslayar que no se agravió respecto a los requisitos, oficina ante la cual se debe presentar y horario de atención, lo que permite determinar que el Recurrente se encuentra conforme con la información que le fue entregada, ya que no realizó manifestaciones de inconformidad; por lo que, no pueden producirse efectos jurídicos tendentes a revocar, confirmar o modificar el acto reclamado ya que se infiere su consentimiento ante la falta de impugnación eficaz.</w:t>
      </w:r>
    </w:p>
    <w:p w:rsidR="00C50F12" w:rsidRPr="00D11B9A" w:rsidRDefault="00C50F12" w:rsidP="00C50F12">
      <w:pPr>
        <w:spacing w:before="240" w:after="240" w:line="360" w:lineRule="auto"/>
        <w:ind w:left="360" w:right="616"/>
        <w:jc w:val="both"/>
        <w:rPr>
          <w:rFonts w:ascii="Palatino Linotype" w:eastAsia="Times New Roman" w:hAnsi="Palatino Linotype" w:cs="Arial"/>
          <w:i/>
          <w:sz w:val="24"/>
          <w:szCs w:val="24"/>
          <w:lang w:eastAsia="es-MX"/>
        </w:rPr>
      </w:pPr>
      <w:r w:rsidRPr="00D11B9A">
        <w:rPr>
          <w:rFonts w:ascii="Palatino Linotype" w:eastAsia="Times New Roman" w:hAnsi="Palatino Linotype" w:cs="Arial"/>
          <w:i/>
          <w:sz w:val="24"/>
          <w:szCs w:val="24"/>
          <w:lang w:eastAsia="es-MX"/>
        </w:rPr>
        <w:t>Sirven de apoyo por analogía, la Tesis Jurisprudencial Número 3ª./J.7/91, publicada en el Semanario Judicial de la Federación y su Gaceta bajo el número de registro 174,177 y la tesis jurisprudencial número 176,608 del Semanario Judicial de la Federación y su Gaceta, que establecen lo siguiente:</w:t>
      </w:r>
    </w:p>
    <w:p w:rsidR="00C50F12" w:rsidRPr="00D11B9A" w:rsidRDefault="00C50F12" w:rsidP="00C50F12">
      <w:pPr>
        <w:spacing w:before="240" w:after="240" w:line="360" w:lineRule="auto"/>
        <w:ind w:left="360" w:right="616"/>
        <w:jc w:val="both"/>
        <w:rPr>
          <w:rFonts w:ascii="Palatino Linotype" w:eastAsia="Times New Roman" w:hAnsi="Palatino Linotype" w:cs="Arial"/>
          <w:i/>
          <w:sz w:val="24"/>
          <w:szCs w:val="24"/>
          <w:lang w:eastAsia="es-MX"/>
        </w:rPr>
      </w:pPr>
      <w:r w:rsidRPr="00D11B9A">
        <w:rPr>
          <w:rFonts w:ascii="Palatino Linotype" w:eastAsia="Times New Roman" w:hAnsi="Palatino Linotype" w:cs="Arial"/>
          <w:i/>
          <w:sz w:val="24"/>
          <w:szCs w:val="24"/>
          <w:lang w:eastAsia="es-MX"/>
        </w:rPr>
        <w:t xml:space="preserve">“REVISIÓN EN AMPARO. LOS RESOLUTIVOS NO COMBATIDOS DEBEN DECLARARSE FIRMES. Cuando algún resolutivo de la sentencia </w:t>
      </w:r>
      <w:r w:rsidRPr="00D11B9A">
        <w:rPr>
          <w:rFonts w:ascii="Palatino Linotype" w:eastAsia="Times New Roman" w:hAnsi="Palatino Linotype" w:cs="Arial"/>
          <w:i/>
          <w:sz w:val="24"/>
          <w:szCs w:val="24"/>
          <w:lang w:eastAsia="es-MX"/>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50F12" w:rsidRPr="00D11B9A" w:rsidRDefault="00C50F12" w:rsidP="00C50F12">
      <w:pPr>
        <w:spacing w:before="240" w:after="240" w:line="360" w:lineRule="auto"/>
        <w:ind w:left="360" w:right="616"/>
        <w:jc w:val="both"/>
        <w:rPr>
          <w:rFonts w:ascii="Palatino Linotype" w:eastAsia="Times New Roman" w:hAnsi="Palatino Linotype" w:cs="Arial"/>
          <w:i/>
          <w:sz w:val="24"/>
          <w:szCs w:val="24"/>
          <w:lang w:eastAsia="es-MX"/>
        </w:rPr>
      </w:pPr>
      <w:r w:rsidRPr="00D11B9A">
        <w:rPr>
          <w:rFonts w:ascii="Palatino Linotype" w:eastAsia="Times New Roman" w:hAnsi="Palatino Linotype" w:cs="Arial"/>
          <w:i/>
          <w:sz w:val="24"/>
          <w:szCs w:val="24"/>
          <w:lang w:eastAsia="es-MX"/>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50F12" w:rsidRPr="00D11B9A" w:rsidRDefault="00C50F12" w:rsidP="00C50F12">
      <w:pPr>
        <w:spacing w:before="240" w:after="240" w:line="360" w:lineRule="auto"/>
        <w:ind w:left="360" w:right="616"/>
        <w:jc w:val="both"/>
        <w:rPr>
          <w:rFonts w:ascii="Palatino Linotype" w:eastAsia="Times New Roman" w:hAnsi="Palatino Linotype" w:cs="Arial"/>
          <w:i/>
          <w:sz w:val="24"/>
          <w:szCs w:val="24"/>
          <w:lang w:eastAsia="es-MX"/>
        </w:rPr>
      </w:pPr>
      <w:r w:rsidRPr="00D11B9A">
        <w:rPr>
          <w:rFonts w:ascii="Palatino Linotype" w:eastAsia="Times New Roman" w:hAnsi="Palatino Linotype" w:cs="Arial"/>
          <w:i/>
          <w:sz w:val="24"/>
          <w:szCs w:val="24"/>
          <w:lang w:eastAsia="es-MX"/>
        </w:rPr>
        <w:t>En tal consideración, y toda vez que la Recurrente no impugnó en el momento procesal oportuno el pronunciamiento del Sujeto Obligado, se colige que los extremos de la mismos fueron actos consentidos de manera tacita, ello de conformidad con el artículo 195 fracción IV del Código de Procedimientos Administrativos del Estado de México  que prevé que es improcedente el recurso contra actos consentidos tácitamente, robustece lo dicho la jurisprudencia siguiente:</w:t>
      </w:r>
    </w:p>
    <w:p w:rsidR="00C50F12" w:rsidRPr="00D11B9A" w:rsidRDefault="00C50F12" w:rsidP="00C50F12">
      <w:pPr>
        <w:spacing w:before="240" w:after="240" w:line="360" w:lineRule="auto"/>
        <w:ind w:left="360" w:right="616"/>
        <w:jc w:val="both"/>
        <w:rPr>
          <w:rFonts w:ascii="Palatino Linotype" w:eastAsia="Times New Roman" w:hAnsi="Palatino Linotype" w:cs="Arial"/>
          <w:i/>
          <w:sz w:val="24"/>
          <w:szCs w:val="24"/>
          <w:lang w:eastAsia="es-MX"/>
        </w:rPr>
      </w:pPr>
      <w:r w:rsidRPr="00D11B9A">
        <w:rPr>
          <w:rFonts w:ascii="Palatino Linotype" w:eastAsia="Times New Roman" w:hAnsi="Palatino Linotype" w:cs="Arial"/>
          <w:i/>
          <w:sz w:val="24"/>
          <w:szCs w:val="24"/>
          <w:lang w:eastAsia="es-MX"/>
        </w:rPr>
        <w:lastRenderedPageBreak/>
        <w:t>“ACTOS CONSENTIDOS TACITAMENTE. Se presumen así, para los efectos del amparo, los actos del orden civil y administrativo, que no hubieren sido reclamados en esa vía dentro de los plazos que la ley señala.”</w:t>
      </w:r>
    </w:p>
    <w:p w:rsidR="00FB2363" w:rsidRPr="00D11B9A" w:rsidRDefault="00FB2363" w:rsidP="00FB2363">
      <w:pPr>
        <w:numPr>
          <w:ilvl w:val="0"/>
          <w:numId w:val="1"/>
        </w:numPr>
        <w:tabs>
          <w:tab w:val="left" w:pos="8080"/>
        </w:tabs>
        <w:spacing w:before="100" w:beforeAutospacing="1" w:after="100" w:afterAutospacing="1" w:line="360" w:lineRule="auto"/>
        <w:ind w:right="49"/>
        <w:contextualSpacing/>
        <w:jc w:val="both"/>
        <w:rPr>
          <w:rFonts w:ascii="Palatino Linotype" w:eastAsia="Times New Roman" w:hAnsi="Palatino Linotype" w:cs="Arial"/>
          <w:sz w:val="24"/>
          <w:szCs w:val="24"/>
          <w:lang w:eastAsia="es-ES"/>
        </w:rPr>
      </w:pPr>
      <w:r w:rsidRPr="00D11B9A">
        <w:rPr>
          <w:rFonts w:ascii="Palatino Linotype" w:eastAsia="Times New Roman" w:hAnsi="Palatino Linotype" w:cs="Arial"/>
          <w:sz w:val="24"/>
          <w:szCs w:val="24"/>
          <w:lang w:eastAsia="es-ES"/>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D11B9A">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D11B9A">
        <w:rPr>
          <w:rFonts w:ascii="Palatino Linotype" w:eastAsia="Calibri" w:hAnsi="Palatino Linotype" w:cs="Times New Roman"/>
          <w:b/>
          <w:sz w:val="24"/>
          <w:szCs w:val="24"/>
          <w:lang w:val="es-ES" w:eastAsia="es-ES"/>
        </w:rPr>
        <w:t>SUJETO OBLIGADO</w:t>
      </w:r>
      <w:r w:rsidRPr="00D11B9A">
        <w:rPr>
          <w:rFonts w:ascii="Palatino Linotype" w:eastAsia="Calibri" w:hAnsi="Palatino Linotype" w:cs="Times New Roman"/>
          <w:sz w:val="24"/>
          <w:szCs w:val="24"/>
          <w:lang w:val="es-ES" w:eastAsia="es-ES"/>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FB2363" w:rsidRPr="00D11B9A" w:rsidRDefault="00FB2363" w:rsidP="00FB2363">
      <w:pPr>
        <w:spacing w:before="240" w:after="240" w:line="360" w:lineRule="auto"/>
        <w:ind w:left="360" w:right="49"/>
        <w:contextualSpacing/>
        <w:jc w:val="both"/>
        <w:rPr>
          <w:rFonts w:ascii="Palatino Linotype" w:hAnsi="Palatino Linotype" w:cs="Arial"/>
          <w:sz w:val="24"/>
          <w:szCs w:val="24"/>
        </w:rPr>
      </w:pPr>
    </w:p>
    <w:p w:rsidR="00FB2363" w:rsidRPr="00D11B9A" w:rsidRDefault="00FB2363" w:rsidP="00FB2363">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2" w:name="_Toc506552629"/>
      <w:r w:rsidRPr="00D11B9A">
        <w:rPr>
          <w:rFonts w:ascii="Palatino Linotype" w:eastAsiaTheme="majorEastAsia" w:hAnsi="Palatino Linotype" w:cstheme="majorBidi"/>
          <w:b/>
          <w:sz w:val="24"/>
          <w:szCs w:val="24"/>
        </w:rPr>
        <w:t>Los actos consentidos no deben invocarse en el derecho fundamental de acceder a la información pública gubernamental.</w:t>
      </w:r>
      <w:bookmarkEnd w:id="2"/>
    </w:p>
    <w:p w:rsidR="00FB2363" w:rsidRPr="00D11B9A" w:rsidRDefault="00FB2363" w:rsidP="00FB2363">
      <w:pPr>
        <w:spacing w:after="0" w:line="360" w:lineRule="auto"/>
        <w:ind w:left="1080"/>
        <w:contextualSpacing/>
        <w:jc w:val="both"/>
        <w:rPr>
          <w:rFonts w:ascii="Palatino Linotype" w:hAnsi="Palatino Linotype" w:cs="Arial"/>
          <w:b/>
          <w:sz w:val="24"/>
          <w:szCs w:val="24"/>
        </w:rPr>
      </w:pPr>
    </w:p>
    <w:p w:rsidR="00FB2363" w:rsidRPr="00D11B9A" w:rsidRDefault="00FB2363" w:rsidP="00FB2363">
      <w:pPr>
        <w:numPr>
          <w:ilvl w:val="0"/>
          <w:numId w:val="1"/>
        </w:numPr>
        <w:spacing w:after="0" w:line="360" w:lineRule="auto"/>
        <w:ind w:left="426"/>
        <w:contextualSpacing/>
        <w:jc w:val="both"/>
        <w:rPr>
          <w:rFonts w:ascii="Palatino Linotype" w:hAnsi="Palatino Linotype" w:cs="Arial"/>
          <w:sz w:val="24"/>
          <w:szCs w:val="24"/>
        </w:rPr>
      </w:pPr>
      <w:r w:rsidRPr="00D11B9A">
        <w:rPr>
          <w:rFonts w:ascii="Palatino Linotype" w:hAnsi="Palatino Linotype" w:cs="Arial"/>
          <w:sz w:val="24"/>
          <w:szCs w:val="24"/>
        </w:rPr>
        <w:lastRenderedPageBreak/>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D11B9A">
        <w:rPr>
          <w:rFonts w:ascii="Palatino Linotype" w:hAnsi="Palatino Linotype" w:cs="Arial"/>
          <w:b/>
          <w:sz w:val="24"/>
          <w:szCs w:val="24"/>
        </w:rPr>
        <w:t>acudir a un profesionista del derecho</w:t>
      </w:r>
      <w:r w:rsidRPr="00D11B9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FB2363" w:rsidRPr="00D11B9A" w:rsidRDefault="00FB2363" w:rsidP="00FB2363">
      <w:pPr>
        <w:spacing w:after="0" w:line="360" w:lineRule="auto"/>
        <w:ind w:left="426"/>
        <w:contextualSpacing/>
        <w:jc w:val="both"/>
        <w:rPr>
          <w:rFonts w:ascii="Palatino Linotype" w:hAnsi="Palatino Linotype" w:cs="Arial"/>
          <w:sz w:val="24"/>
          <w:szCs w:val="24"/>
        </w:rPr>
      </w:pPr>
    </w:p>
    <w:p w:rsidR="00FB2363" w:rsidRPr="00D11B9A" w:rsidRDefault="00FB2363" w:rsidP="00FB2363">
      <w:pPr>
        <w:numPr>
          <w:ilvl w:val="0"/>
          <w:numId w:val="1"/>
        </w:numPr>
        <w:spacing w:after="0" w:line="360" w:lineRule="auto"/>
        <w:ind w:left="426" w:hanging="426"/>
        <w:contextualSpacing/>
        <w:jc w:val="both"/>
        <w:rPr>
          <w:rFonts w:ascii="Palatino Linotype" w:hAnsi="Palatino Linotype" w:cs="Arial"/>
          <w:sz w:val="24"/>
          <w:szCs w:val="24"/>
        </w:rPr>
      </w:pPr>
      <w:r w:rsidRPr="00D11B9A">
        <w:rPr>
          <w:rFonts w:ascii="Palatino Linotype" w:hAnsi="Palatino Linotype" w:cs="Arial"/>
          <w:sz w:val="24"/>
          <w:szCs w:val="24"/>
        </w:rPr>
        <w:t xml:space="preserve">La figura de la suplencia de la queja, para Héctor </w:t>
      </w:r>
      <w:proofErr w:type="spellStart"/>
      <w:r w:rsidRPr="00D11B9A">
        <w:rPr>
          <w:rFonts w:ascii="Palatino Linotype" w:hAnsi="Palatino Linotype" w:cs="Arial"/>
          <w:sz w:val="24"/>
          <w:szCs w:val="24"/>
        </w:rPr>
        <w:t>Fix</w:t>
      </w:r>
      <w:proofErr w:type="spellEnd"/>
      <w:r w:rsidRPr="00D11B9A">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w:t>
      </w:r>
      <w:r w:rsidRPr="00D11B9A">
        <w:rPr>
          <w:rFonts w:ascii="Palatino Linotype" w:hAnsi="Palatino Linotype" w:cs="Arial"/>
          <w:sz w:val="24"/>
          <w:szCs w:val="24"/>
        </w:rPr>
        <w:lastRenderedPageBreak/>
        <w:t>y que puede expenderse, como ocurre en el proceso social agrario, a los diversos actos procesales de la parte débil incluyendo el ofrecimiento y desahogo de los medios de prueba”.</w:t>
      </w:r>
      <w:r w:rsidRPr="00D11B9A">
        <w:rPr>
          <w:rFonts w:ascii="Palatino Linotype" w:hAnsi="Palatino Linotype" w:cs="Arial"/>
          <w:vertAlign w:val="superscript"/>
        </w:rPr>
        <w:footnoteReference w:id="1"/>
      </w:r>
      <w:r w:rsidRPr="00D11B9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D11B9A">
        <w:rPr>
          <w:rFonts w:ascii="Palatino Linotype" w:hAnsi="Palatino Linotype" w:cs="Arial"/>
          <w:vertAlign w:val="superscript"/>
        </w:rPr>
        <w:footnoteReference w:id="2"/>
      </w:r>
      <w:r w:rsidRPr="00D11B9A">
        <w:rPr>
          <w:rFonts w:ascii="Palatino Linotype" w:hAnsi="Palatino Linotype" w:cs="Arial"/>
          <w:sz w:val="24"/>
          <w:szCs w:val="24"/>
        </w:rPr>
        <w:t xml:space="preserve"> </w:t>
      </w:r>
    </w:p>
    <w:p w:rsidR="00FB2363" w:rsidRPr="00D11B9A" w:rsidRDefault="00FB2363" w:rsidP="00FB2363">
      <w:pPr>
        <w:spacing w:line="360" w:lineRule="auto"/>
        <w:ind w:left="720"/>
        <w:contextualSpacing/>
        <w:jc w:val="both"/>
        <w:rPr>
          <w:rFonts w:ascii="Palatino Linotype" w:hAnsi="Palatino Linotype" w:cs="Arial"/>
          <w:sz w:val="24"/>
          <w:szCs w:val="24"/>
        </w:rPr>
      </w:pPr>
    </w:p>
    <w:p w:rsidR="00FB2363" w:rsidRPr="00D11B9A" w:rsidRDefault="00FB2363" w:rsidP="00FB2363">
      <w:pPr>
        <w:numPr>
          <w:ilvl w:val="0"/>
          <w:numId w:val="1"/>
        </w:numPr>
        <w:spacing w:after="0" w:line="360" w:lineRule="auto"/>
        <w:ind w:left="426"/>
        <w:contextualSpacing/>
        <w:jc w:val="both"/>
        <w:rPr>
          <w:rFonts w:ascii="Palatino Linotype" w:hAnsi="Palatino Linotype" w:cs="Arial"/>
          <w:sz w:val="24"/>
          <w:szCs w:val="24"/>
        </w:rPr>
      </w:pPr>
      <w:r w:rsidRPr="00D11B9A">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FB2363" w:rsidRPr="00D11B9A" w:rsidRDefault="00FB2363" w:rsidP="00FB2363">
      <w:pPr>
        <w:spacing w:after="0" w:line="360" w:lineRule="auto"/>
        <w:jc w:val="both"/>
        <w:rPr>
          <w:rFonts w:ascii="Palatino Linotype" w:hAnsi="Palatino Linotype" w:cs="Arial"/>
          <w:sz w:val="24"/>
          <w:szCs w:val="24"/>
        </w:rPr>
      </w:pPr>
    </w:p>
    <w:p w:rsidR="00FB2363" w:rsidRPr="00D11B9A" w:rsidRDefault="00FB2363" w:rsidP="00FB2363">
      <w:pPr>
        <w:numPr>
          <w:ilvl w:val="0"/>
          <w:numId w:val="1"/>
        </w:numPr>
        <w:spacing w:after="0" w:line="360" w:lineRule="auto"/>
        <w:ind w:left="426" w:hanging="426"/>
        <w:contextualSpacing/>
        <w:jc w:val="both"/>
        <w:rPr>
          <w:rFonts w:ascii="Palatino Linotype" w:hAnsi="Palatino Linotype" w:cs="Arial"/>
          <w:sz w:val="24"/>
          <w:szCs w:val="24"/>
        </w:rPr>
      </w:pPr>
      <w:r w:rsidRPr="00D11B9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w:t>
      </w:r>
      <w:r w:rsidRPr="00D11B9A">
        <w:rPr>
          <w:rFonts w:ascii="Palatino Linotype" w:hAnsi="Palatino Linotype" w:cs="Arial"/>
          <w:sz w:val="24"/>
          <w:szCs w:val="24"/>
        </w:rPr>
        <w:lastRenderedPageBreak/>
        <w:t xml:space="preserve">respeto, protección y </w:t>
      </w:r>
      <w:r w:rsidRPr="00D11B9A">
        <w:rPr>
          <w:rFonts w:ascii="Palatino Linotype" w:hAnsi="Palatino Linotype" w:cs="Arial"/>
          <w:b/>
          <w:sz w:val="24"/>
          <w:szCs w:val="24"/>
        </w:rPr>
        <w:t>garantía de los derechos humanos</w:t>
      </w:r>
      <w:r w:rsidRPr="00D11B9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FB2363" w:rsidRPr="00D11B9A" w:rsidRDefault="00FB2363" w:rsidP="00FB2363">
      <w:pPr>
        <w:spacing w:after="0" w:line="360" w:lineRule="auto"/>
        <w:jc w:val="both"/>
        <w:rPr>
          <w:rFonts w:ascii="Palatino Linotype" w:hAnsi="Palatino Linotype" w:cs="Arial"/>
          <w:sz w:val="24"/>
          <w:szCs w:val="24"/>
        </w:rPr>
      </w:pPr>
    </w:p>
    <w:p w:rsidR="00FB2363" w:rsidRPr="00D11B9A" w:rsidRDefault="00FB2363" w:rsidP="00FB2363">
      <w:pPr>
        <w:numPr>
          <w:ilvl w:val="0"/>
          <w:numId w:val="1"/>
        </w:numPr>
        <w:spacing w:after="0" w:line="360" w:lineRule="auto"/>
        <w:ind w:left="426"/>
        <w:contextualSpacing/>
        <w:jc w:val="both"/>
        <w:rPr>
          <w:rFonts w:ascii="Palatino Linotype" w:hAnsi="Palatino Linotype" w:cs="Arial"/>
          <w:sz w:val="24"/>
          <w:szCs w:val="24"/>
        </w:rPr>
      </w:pPr>
      <w:r w:rsidRPr="00D11B9A">
        <w:rPr>
          <w:rFonts w:ascii="Palatino Linotype" w:hAnsi="Palatino Linotype" w:cs="Arial"/>
          <w:sz w:val="24"/>
          <w:szCs w:val="24"/>
        </w:rPr>
        <w:t>En este sentido el Dr. Miguel Carbonell ha señalado que:</w:t>
      </w:r>
    </w:p>
    <w:p w:rsidR="00FB2363" w:rsidRPr="00D11B9A" w:rsidRDefault="00FB2363" w:rsidP="00FB2363">
      <w:pPr>
        <w:spacing w:after="0" w:line="360" w:lineRule="auto"/>
        <w:ind w:left="426"/>
        <w:contextualSpacing/>
        <w:jc w:val="both"/>
        <w:rPr>
          <w:rFonts w:ascii="Palatino Linotype" w:hAnsi="Palatino Linotype" w:cs="Arial"/>
          <w:sz w:val="24"/>
          <w:szCs w:val="24"/>
        </w:rPr>
      </w:pPr>
    </w:p>
    <w:p w:rsidR="00FB2363" w:rsidRPr="00D11B9A" w:rsidRDefault="00FB2363" w:rsidP="00FB2363">
      <w:pPr>
        <w:spacing w:after="0" w:line="360" w:lineRule="auto"/>
        <w:ind w:left="426" w:right="616"/>
        <w:contextualSpacing/>
        <w:jc w:val="both"/>
        <w:rPr>
          <w:rFonts w:ascii="Palatino Linotype" w:hAnsi="Palatino Linotype" w:cs="Arial"/>
          <w:sz w:val="24"/>
          <w:szCs w:val="24"/>
        </w:rPr>
      </w:pPr>
      <w:r w:rsidRPr="00D11B9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D11B9A">
        <w:rPr>
          <w:rFonts w:ascii="Palatino Linotype" w:hAnsi="Palatino Linotype" w:cs="Arial"/>
          <w:b/>
          <w:sz w:val="24"/>
          <w:szCs w:val="24"/>
        </w:rPr>
        <w:t>considerando que algún nivel de gobierno tenga obligaciones reforzadas hacia ciertos derechos.</w:t>
      </w:r>
      <w:r w:rsidRPr="00D11B9A">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D11B9A">
        <w:rPr>
          <w:rFonts w:ascii="Palatino Linotype" w:hAnsi="Palatino Linotype" w:cs="Arial"/>
          <w:b/>
          <w:sz w:val="24"/>
          <w:szCs w:val="24"/>
        </w:rPr>
        <w:t>tomar todas las medidas que sean pertinentes para tutelar y hacer eficaz un derecho</w:t>
      </w:r>
      <w:r w:rsidRPr="00D11B9A">
        <w:rPr>
          <w:rFonts w:ascii="Palatino Linotype" w:hAnsi="Palatino Linotype" w:cs="Arial"/>
          <w:sz w:val="24"/>
          <w:szCs w:val="24"/>
        </w:rPr>
        <w:t>”.</w:t>
      </w:r>
      <w:r w:rsidRPr="00D11B9A">
        <w:rPr>
          <w:rFonts w:ascii="Palatino Linotype" w:hAnsi="Palatino Linotype" w:cs="Arial"/>
          <w:vertAlign w:val="superscript"/>
        </w:rPr>
        <w:footnoteReference w:id="3"/>
      </w:r>
    </w:p>
    <w:p w:rsidR="00FB2363" w:rsidRPr="00D11B9A" w:rsidRDefault="00FB2363" w:rsidP="00FB2363">
      <w:pPr>
        <w:spacing w:after="0" w:line="360" w:lineRule="auto"/>
        <w:ind w:left="426"/>
        <w:contextualSpacing/>
        <w:jc w:val="both"/>
        <w:rPr>
          <w:rFonts w:ascii="Palatino Linotype" w:hAnsi="Palatino Linotype" w:cs="Arial"/>
          <w:sz w:val="24"/>
          <w:szCs w:val="24"/>
        </w:rPr>
      </w:pPr>
    </w:p>
    <w:p w:rsidR="00FB2363" w:rsidRPr="00D11B9A" w:rsidRDefault="00FB2363" w:rsidP="00FB2363">
      <w:pPr>
        <w:numPr>
          <w:ilvl w:val="0"/>
          <w:numId w:val="1"/>
        </w:numPr>
        <w:spacing w:after="0" w:line="360" w:lineRule="auto"/>
        <w:contextualSpacing/>
        <w:jc w:val="both"/>
        <w:rPr>
          <w:rFonts w:ascii="Palatino Linotype" w:hAnsi="Palatino Linotype" w:cs="Arial"/>
          <w:sz w:val="24"/>
          <w:szCs w:val="24"/>
        </w:rPr>
      </w:pPr>
      <w:r w:rsidRPr="00D11B9A">
        <w:rPr>
          <w:rFonts w:ascii="Palatino Linotype" w:hAnsi="Palatino Linotype" w:cs="Arial"/>
          <w:sz w:val="24"/>
          <w:szCs w:val="24"/>
        </w:rPr>
        <w:t xml:space="preserve"> Por lo que restringir el derecho de acceso a la información pública del particular</w:t>
      </w:r>
      <w:r w:rsidRPr="00D11B9A">
        <w:rPr>
          <w:rFonts w:ascii="Palatino Linotype" w:hAnsi="Palatino Linotype" w:cs="Arial"/>
          <w:b/>
          <w:sz w:val="24"/>
          <w:szCs w:val="24"/>
        </w:rPr>
        <w:t xml:space="preserve"> </w:t>
      </w:r>
      <w:r w:rsidRPr="00D11B9A">
        <w:rPr>
          <w:rFonts w:ascii="Palatino Linotype" w:hAnsi="Palatino Linotype" w:cs="Arial"/>
          <w:sz w:val="24"/>
          <w:szCs w:val="24"/>
        </w:rPr>
        <w:t xml:space="preserve">suponiendo en el peor de los casos, que en efecto, no se hubiera ordenado la información solicitada por no impugnar la falta de entrega de los documentos solicitados, debilita la efectividad de esta garantía al hacerla depender de un </w:t>
      </w:r>
      <w:r w:rsidRPr="00D11B9A">
        <w:rPr>
          <w:rFonts w:ascii="Palatino Linotype" w:hAnsi="Palatino Linotype" w:cs="Arial"/>
          <w:sz w:val="24"/>
          <w:szCs w:val="24"/>
        </w:rPr>
        <w:lastRenderedPageBreak/>
        <w:t>hecho desconocido y, por lo tanto de dudosa acreditación, además que se insiste fue en todo momento innecesario señalar el argumento de actos consentidos.</w:t>
      </w:r>
    </w:p>
    <w:p w:rsidR="00FB2363" w:rsidRPr="00D11B9A" w:rsidRDefault="00FB2363" w:rsidP="00FB2363">
      <w:pPr>
        <w:spacing w:after="0" w:line="360" w:lineRule="auto"/>
        <w:ind w:left="720"/>
        <w:contextualSpacing/>
        <w:jc w:val="both"/>
        <w:rPr>
          <w:rFonts w:ascii="Palatino Linotype" w:hAnsi="Palatino Linotype" w:cs="Arial"/>
          <w:sz w:val="24"/>
          <w:szCs w:val="24"/>
        </w:rPr>
      </w:pPr>
    </w:p>
    <w:p w:rsidR="00FB2363" w:rsidRPr="00D11B9A" w:rsidRDefault="00FB2363" w:rsidP="00FB2363">
      <w:pPr>
        <w:numPr>
          <w:ilvl w:val="0"/>
          <w:numId w:val="1"/>
        </w:numPr>
        <w:spacing w:after="0" w:line="360" w:lineRule="auto"/>
        <w:contextualSpacing/>
        <w:jc w:val="both"/>
        <w:rPr>
          <w:rFonts w:ascii="Palatino Linotype" w:hAnsi="Palatino Linotype" w:cs="Arial"/>
          <w:sz w:val="24"/>
          <w:szCs w:val="24"/>
        </w:rPr>
      </w:pPr>
      <w:r w:rsidRPr="00D11B9A">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FB2363" w:rsidRPr="00D11B9A" w:rsidRDefault="00FB2363" w:rsidP="00FB2363">
      <w:pPr>
        <w:spacing w:line="360" w:lineRule="auto"/>
        <w:ind w:left="720"/>
        <w:contextualSpacing/>
        <w:jc w:val="both"/>
        <w:rPr>
          <w:rFonts w:ascii="Palatino Linotype" w:hAnsi="Palatino Linotype" w:cs="Arial"/>
          <w:sz w:val="24"/>
          <w:szCs w:val="24"/>
        </w:rPr>
      </w:pPr>
    </w:p>
    <w:p w:rsidR="00FB2363" w:rsidRPr="00D11B9A" w:rsidRDefault="00FB2363" w:rsidP="00FB2363">
      <w:pPr>
        <w:numPr>
          <w:ilvl w:val="0"/>
          <w:numId w:val="1"/>
        </w:numPr>
        <w:spacing w:after="0" w:line="360" w:lineRule="auto"/>
        <w:ind w:left="426"/>
        <w:contextualSpacing/>
        <w:jc w:val="both"/>
        <w:rPr>
          <w:rFonts w:ascii="Palatino Linotype" w:hAnsi="Palatino Linotype" w:cs="Arial"/>
          <w:sz w:val="24"/>
          <w:szCs w:val="24"/>
        </w:rPr>
      </w:pPr>
      <w:r w:rsidRPr="00D11B9A">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D11B9A">
        <w:rPr>
          <w:rFonts w:ascii="Palatino Linotype" w:hAnsi="Palatino Linotype" w:cs="Arial"/>
          <w:sz w:val="24"/>
          <w:szCs w:val="24"/>
        </w:rPr>
        <w:t>Cotta</w:t>
      </w:r>
      <w:proofErr w:type="spellEnd"/>
      <w:r w:rsidRPr="00D11B9A">
        <w:rPr>
          <w:rFonts w:ascii="Palatino Linotype" w:hAnsi="Palatino Linotype" w:cs="Arial"/>
          <w:sz w:val="24"/>
          <w:szCs w:val="24"/>
        </w:rPr>
        <w:t xml:space="preserve"> que “la obligatoriedad de la norma depende de la validez de su justificación, que es, por consiguiente el </w:t>
      </w:r>
      <w:r w:rsidRPr="00D11B9A">
        <w:rPr>
          <w:rFonts w:ascii="Palatino Linotype" w:hAnsi="Palatino Linotype" w:cs="Arial"/>
          <w:sz w:val="24"/>
          <w:szCs w:val="24"/>
        </w:rPr>
        <w:lastRenderedPageBreak/>
        <w:t>fundamento de aquella”,</w:t>
      </w:r>
      <w:r w:rsidRPr="00D11B9A">
        <w:rPr>
          <w:rFonts w:ascii="Palatino Linotype" w:hAnsi="Palatino Linotype" w:cs="Arial"/>
          <w:vertAlign w:val="superscript"/>
        </w:rPr>
        <w:footnoteReference w:id="4"/>
      </w:r>
      <w:r w:rsidRPr="00D11B9A">
        <w:rPr>
          <w:rFonts w:ascii="Palatino Linotype" w:hAnsi="Palatino Linotype" w:cs="Arial"/>
          <w:sz w:val="24"/>
          <w:szCs w:val="24"/>
        </w:rPr>
        <w:t xml:space="preserve"> y no puede existir validez en la aplicación de un criterio que propicia una riesgosa afectación al derecho de acceso a la información.</w:t>
      </w:r>
    </w:p>
    <w:p w:rsidR="00FB2363" w:rsidRPr="00D11B9A" w:rsidRDefault="00FB2363" w:rsidP="00FB2363">
      <w:pPr>
        <w:spacing w:line="360" w:lineRule="auto"/>
        <w:ind w:left="720"/>
        <w:contextualSpacing/>
        <w:jc w:val="both"/>
        <w:rPr>
          <w:rFonts w:ascii="Palatino Linotype" w:hAnsi="Palatino Linotype" w:cs="Arial"/>
          <w:sz w:val="24"/>
          <w:szCs w:val="24"/>
        </w:rPr>
      </w:pPr>
    </w:p>
    <w:p w:rsidR="00FB2363" w:rsidRPr="00D11B9A" w:rsidRDefault="00FB2363" w:rsidP="00FB2363">
      <w:pPr>
        <w:numPr>
          <w:ilvl w:val="0"/>
          <w:numId w:val="1"/>
        </w:numPr>
        <w:spacing w:after="0" w:line="360" w:lineRule="auto"/>
        <w:ind w:left="426"/>
        <w:contextualSpacing/>
        <w:jc w:val="both"/>
        <w:rPr>
          <w:rFonts w:ascii="Palatino Linotype" w:hAnsi="Palatino Linotype" w:cs="Arial"/>
          <w:sz w:val="24"/>
          <w:szCs w:val="24"/>
        </w:rPr>
      </w:pPr>
      <w:r w:rsidRPr="00D11B9A">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11B9A">
        <w:rPr>
          <w:rFonts w:ascii="Palatino Linotype" w:hAnsi="Palatino Linotype" w:cs="Arial"/>
          <w:b/>
          <w:sz w:val="24"/>
          <w:szCs w:val="24"/>
        </w:rPr>
        <w:t>el deber que tienen los órganos del Estado, dentro del margen de sus atribuciones, de prevenir violaciones a los derechos fundamentales,</w:t>
      </w:r>
      <w:r w:rsidRPr="00D11B9A">
        <w:rPr>
          <w:rFonts w:ascii="Palatino Linotype" w:hAnsi="Palatino Linotype" w:cs="Arial"/>
          <w:sz w:val="24"/>
          <w:szCs w:val="24"/>
        </w:rPr>
        <w:t xml:space="preserve"> ya sea que provengan de una autoridad o de algún particular y, por ello, </w:t>
      </w:r>
      <w:r w:rsidRPr="00D11B9A">
        <w:rPr>
          <w:rFonts w:ascii="Palatino Linotype" w:hAnsi="Palatino Linotype" w:cs="Arial"/>
          <w:b/>
          <w:sz w:val="24"/>
          <w:szCs w:val="24"/>
        </w:rPr>
        <w:t>debe contarse</w:t>
      </w:r>
      <w:r w:rsidRPr="00D11B9A">
        <w:rPr>
          <w:rFonts w:ascii="Palatino Linotype" w:hAnsi="Palatino Linotype" w:cs="Arial"/>
          <w:sz w:val="24"/>
          <w:szCs w:val="24"/>
        </w:rPr>
        <w:t xml:space="preserve"> tanto </w:t>
      </w:r>
      <w:r w:rsidRPr="00D11B9A">
        <w:rPr>
          <w:rFonts w:ascii="Palatino Linotype" w:hAnsi="Palatino Linotype" w:cs="Arial"/>
          <w:b/>
          <w:sz w:val="24"/>
          <w:szCs w:val="24"/>
        </w:rPr>
        <w:t>con mecanismos</w:t>
      </w:r>
      <w:r w:rsidRPr="00D11B9A">
        <w:rPr>
          <w:rFonts w:ascii="Palatino Linotype" w:hAnsi="Palatino Linotype" w:cs="Arial"/>
          <w:sz w:val="24"/>
          <w:szCs w:val="24"/>
        </w:rPr>
        <w:t xml:space="preserve"> de vigilancia como </w:t>
      </w:r>
      <w:r w:rsidRPr="00D11B9A">
        <w:rPr>
          <w:rFonts w:ascii="Palatino Linotype" w:hAnsi="Palatino Linotype" w:cs="Arial"/>
          <w:b/>
          <w:sz w:val="24"/>
          <w:szCs w:val="24"/>
        </w:rPr>
        <w:t xml:space="preserve">de reacción ante el riesgo de vulneración del derecho, de forma que se impida la consumación de la violación. En este último sentido, su cumplimiento es inmediatamente </w:t>
      </w:r>
      <w:r w:rsidRPr="00D11B9A">
        <w:rPr>
          <w:rFonts w:ascii="Palatino Linotype" w:hAnsi="Palatino Linotype" w:cs="Arial"/>
          <w:b/>
          <w:sz w:val="24"/>
          <w:szCs w:val="24"/>
        </w:rPr>
        <w:lastRenderedPageBreak/>
        <w:t>exigible, ya que como la conducta estatal debe encaminarse a resguardar a las personas de las interferencias a sus derechos provenientes de los propios agentes del Estado</w:t>
      </w:r>
      <w:r w:rsidRPr="00D11B9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FB2363" w:rsidRPr="00D11B9A" w:rsidRDefault="00FB2363" w:rsidP="00FB2363">
      <w:pPr>
        <w:spacing w:after="0" w:line="360" w:lineRule="auto"/>
        <w:ind w:left="426"/>
        <w:contextualSpacing/>
        <w:jc w:val="both"/>
        <w:rPr>
          <w:rFonts w:ascii="Palatino Linotype" w:hAnsi="Palatino Linotype" w:cs="Arial"/>
          <w:szCs w:val="24"/>
        </w:rPr>
      </w:pPr>
    </w:p>
    <w:p w:rsidR="00FB2363" w:rsidRPr="00D11B9A" w:rsidRDefault="00FB2363" w:rsidP="00FB2363">
      <w:pPr>
        <w:numPr>
          <w:ilvl w:val="0"/>
          <w:numId w:val="1"/>
        </w:numPr>
        <w:spacing w:after="0" w:line="360" w:lineRule="auto"/>
        <w:contextualSpacing/>
        <w:jc w:val="both"/>
        <w:rPr>
          <w:rFonts w:ascii="Palatino Linotype" w:hAnsi="Palatino Linotype" w:cs="Arial"/>
          <w:sz w:val="24"/>
          <w:szCs w:val="24"/>
        </w:rPr>
      </w:pPr>
      <w:r w:rsidRPr="00D11B9A">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D11B9A">
        <w:rPr>
          <w:rFonts w:ascii="Palatino Linotype" w:hAnsi="Palatino Linotype" w:cs="Arial"/>
          <w:b/>
          <w:sz w:val="24"/>
          <w:szCs w:val="24"/>
        </w:rPr>
        <w:t>SUJETOS OBLIGADOS</w:t>
      </w:r>
      <w:r w:rsidRPr="00D11B9A">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w:t>
      </w:r>
      <w:r w:rsidRPr="00D11B9A">
        <w:rPr>
          <w:rFonts w:ascii="Palatino Linotype" w:hAnsi="Palatino Linotype" w:cs="Arial"/>
          <w:sz w:val="24"/>
          <w:szCs w:val="24"/>
        </w:rPr>
        <w:lastRenderedPageBreak/>
        <w:t>de acceso a la información y que además se encuentra disponible para ser operado por esta autoridad.</w:t>
      </w:r>
    </w:p>
    <w:p w:rsidR="00FB2363" w:rsidRPr="00D11B9A" w:rsidRDefault="00FB2363" w:rsidP="00FB2363">
      <w:pPr>
        <w:spacing w:after="0" w:line="240" w:lineRule="auto"/>
        <w:ind w:left="720"/>
        <w:contextualSpacing/>
        <w:rPr>
          <w:rFonts w:ascii="Palatino Linotype" w:eastAsia="Times New Roman" w:hAnsi="Palatino Linotype" w:cs="Arial"/>
          <w:sz w:val="24"/>
          <w:szCs w:val="24"/>
          <w:lang w:eastAsia="es-ES"/>
        </w:rPr>
      </w:pPr>
    </w:p>
    <w:p w:rsidR="00FB2363" w:rsidRPr="00D11B9A" w:rsidRDefault="00FB2363" w:rsidP="00FB2363">
      <w:pPr>
        <w:numPr>
          <w:ilvl w:val="0"/>
          <w:numId w:val="1"/>
        </w:numPr>
        <w:spacing w:after="0" w:line="360" w:lineRule="auto"/>
        <w:contextualSpacing/>
        <w:jc w:val="both"/>
        <w:rPr>
          <w:rFonts w:ascii="Palatino Linotype" w:hAnsi="Palatino Linotype" w:cs="Arial"/>
          <w:sz w:val="24"/>
          <w:szCs w:val="24"/>
        </w:rPr>
      </w:pPr>
      <w:r w:rsidRPr="00D11B9A">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D11B9A">
        <w:rPr>
          <w:rFonts w:ascii="Palatino Linotype" w:hAnsi="Palatino Linotype" w:cs="Arial"/>
          <w:sz w:val="24"/>
          <w:szCs w:val="24"/>
        </w:rPr>
        <w:t>procedibilidad</w:t>
      </w:r>
      <w:proofErr w:type="spellEnd"/>
      <w:r w:rsidRPr="00D11B9A">
        <w:rPr>
          <w:rFonts w:ascii="Palatino Linotype" w:hAnsi="Palatino Linotype" w:cs="Arial"/>
          <w:sz w:val="24"/>
          <w:szCs w:val="24"/>
        </w:rPr>
        <w:t>, ya que en todo momento nos encontramos ante un derecho más alto que, puede considerarse en los siguientes términos:</w:t>
      </w:r>
    </w:p>
    <w:p w:rsidR="00FB2363" w:rsidRPr="00D11B9A" w:rsidRDefault="00FB2363" w:rsidP="00FB2363">
      <w:pPr>
        <w:spacing w:after="0" w:line="360" w:lineRule="auto"/>
        <w:ind w:left="284"/>
        <w:contextualSpacing/>
        <w:jc w:val="both"/>
        <w:rPr>
          <w:rFonts w:ascii="Palatino Linotype" w:hAnsi="Palatino Linotype" w:cs="Arial"/>
          <w:sz w:val="24"/>
          <w:szCs w:val="24"/>
        </w:rPr>
      </w:pPr>
    </w:p>
    <w:p w:rsidR="00FB2363" w:rsidRPr="00D11B9A" w:rsidRDefault="00FB2363" w:rsidP="00FB2363">
      <w:pPr>
        <w:spacing w:after="0" w:line="360" w:lineRule="auto"/>
        <w:ind w:left="567" w:right="618"/>
        <w:jc w:val="both"/>
        <w:rPr>
          <w:rFonts w:ascii="Palatino Linotype" w:hAnsi="Palatino Linotype" w:cs="Arial"/>
          <w:i/>
        </w:rPr>
      </w:pPr>
      <w:r w:rsidRPr="00D11B9A">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D11B9A">
        <w:rPr>
          <w:rFonts w:ascii="Palatino Linotype" w:hAnsi="Palatino Linotype" w:cs="Arial"/>
          <w:i/>
        </w:rPr>
        <w:t>ocasionalidad</w:t>
      </w:r>
      <w:proofErr w:type="spellEnd"/>
      <w:r w:rsidRPr="00D11B9A">
        <w:rPr>
          <w:rFonts w:ascii="Palatino Linotype" w:hAnsi="Palatino Linotype" w:cs="Arial"/>
          <w:i/>
        </w:rPr>
        <w:t xml:space="preserve"> de las presiones sociales que se ejercen sobre el mismo”.</w:t>
      </w:r>
      <w:r w:rsidRPr="00D11B9A">
        <w:rPr>
          <w:rFonts w:ascii="Palatino Linotype" w:hAnsi="Palatino Linotype" w:cs="Arial"/>
          <w:i/>
          <w:vertAlign w:val="superscript"/>
        </w:rPr>
        <w:footnoteReference w:id="5"/>
      </w:r>
    </w:p>
    <w:p w:rsidR="00FB2363" w:rsidRPr="00D11B9A" w:rsidRDefault="00FB2363" w:rsidP="00FB2363">
      <w:pPr>
        <w:spacing w:after="0" w:line="360" w:lineRule="auto"/>
        <w:ind w:left="1134" w:right="618"/>
        <w:jc w:val="both"/>
        <w:rPr>
          <w:rFonts w:ascii="Palatino Linotype" w:hAnsi="Palatino Linotype" w:cs="Arial"/>
          <w:i/>
        </w:rPr>
      </w:pPr>
    </w:p>
    <w:p w:rsidR="00FB2363" w:rsidRPr="00D11B9A" w:rsidRDefault="00FB2363" w:rsidP="00FB2363">
      <w:pPr>
        <w:numPr>
          <w:ilvl w:val="0"/>
          <w:numId w:val="1"/>
        </w:numPr>
        <w:spacing w:after="0" w:line="360" w:lineRule="auto"/>
        <w:ind w:left="426" w:hanging="426"/>
        <w:contextualSpacing/>
        <w:jc w:val="both"/>
        <w:rPr>
          <w:rFonts w:ascii="Palatino Linotype" w:hAnsi="Palatino Linotype" w:cs="Arial"/>
          <w:sz w:val="24"/>
          <w:szCs w:val="24"/>
        </w:rPr>
      </w:pPr>
      <w:r w:rsidRPr="00D11B9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w:t>
      </w:r>
      <w:r w:rsidRPr="00D11B9A">
        <w:rPr>
          <w:rFonts w:ascii="Palatino Linotype" w:hAnsi="Palatino Linotype" w:cs="Arial"/>
          <w:sz w:val="24"/>
          <w:szCs w:val="24"/>
        </w:rPr>
        <w:lastRenderedPageBreak/>
        <w:t>protección. Declinar esa obligación por la experiencia pasada nos aleja del mandato constitucional y pretende otorgar plena certeza a la presunción de que la solicitud ha sido atendida, lo que de no ser así, afecta el derecho humano.</w:t>
      </w:r>
    </w:p>
    <w:p w:rsidR="00FB2363" w:rsidRPr="00D11B9A" w:rsidRDefault="00FB2363" w:rsidP="00FB2363">
      <w:pPr>
        <w:spacing w:after="0" w:line="360" w:lineRule="auto"/>
        <w:ind w:left="426"/>
        <w:contextualSpacing/>
        <w:jc w:val="both"/>
        <w:rPr>
          <w:rFonts w:ascii="Palatino Linotype" w:hAnsi="Palatino Linotype" w:cs="Arial"/>
          <w:sz w:val="24"/>
          <w:szCs w:val="24"/>
        </w:rPr>
      </w:pPr>
    </w:p>
    <w:p w:rsidR="00FB2363" w:rsidRPr="00D11B9A" w:rsidRDefault="00FB2363" w:rsidP="00FB2363">
      <w:pPr>
        <w:numPr>
          <w:ilvl w:val="0"/>
          <w:numId w:val="1"/>
        </w:numPr>
        <w:spacing w:line="360" w:lineRule="auto"/>
        <w:ind w:left="426" w:hanging="426"/>
        <w:contextualSpacing/>
        <w:jc w:val="both"/>
        <w:rPr>
          <w:rFonts w:ascii="Palatino Linotype" w:hAnsi="Palatino Linotype" w:cs="Arial"/>
          <w:sz w:val="24"/>
          <w:szCs w:val="24"/>
        </w:rPr>
      </w:pPr>
      <w:r w:rsidRPr="00D11B9A">
        <w:rPr>
          <w:rFonts w:ascii="Palatino Linotype" w:hAnsi="Palatino Linotype" w:cs="Arial"/>
          <w:sz w:val="24"/>
          <w:szCs w:val="24"/>
        </w:rPr>
        <w:t>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FB2363" w:rsidRPr="00D11B9A" w:rsidRDefault="00FB2363" w:rsidP="00FB2363">
      <w:pPr>
        <w:spacing w:line="360" w:lineRule="auto"/>
        <w:ind w:left="720"/>
        <w:contextualSpacing/>
        <w:jc w:val="both"/>
        <w:rPr>
          <w:rFonts w:ascii="Palatino Linotype" w:hAnsi="Palatino Linotype" w:cs="Arial"/>
          <w:sz w:val="24"/>
          <w:szCs w:val="24"/>
        </w:rPr>
      </w:pPr>
    </w:p>
    <w:p w:rsidR="00FB2363" w:rsidRDefault="00FB2363" w:rsidP="00FB2363">
      <w:pPr>
        <w:numPr>
          <w:ilvl w:val="0"/>
          <w:numId w:val="1"/>
        </w:numPr>
        <w:spacing w:after="0" w:line="360" w:lineRule="auto"/>
        <w:ind w:left="426" w:hanging="426"/>
        <w:contextualSpacing/>
        <w:jc w:val="both"/>
        <w:rPr>
          <w:rFonts w:ascii="Palatino Linotype" w:hAnsi="Palatino Linotype" w:cs="Arial"/>
          <w:sz w:val="24"/>
          <w:szCs w:val="24"/>
        </w:rPr>
      </w:pPr>
      <w:r w:rsidRPr="00D11B9A">
        <w:rPr>
          <w:rFonts w:ascii="Palatino Linotype" w:hAnsi="Palatino Linotype" w:cs="Arial"/>
          <w:sz w:val="24"/>
          <w:szCs w:val="24"/>
        </w:rPr>
        <w:lastRenderedPageBreak/>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D11B9A" w:rsidRDefault="00D11B9A" w:rsidP="00D11B9A">
      <w:pPr>
        <w:pStyle w:val="Prrafodelista"/>
        <w:rPr>
          <w:rFonts w:ascii="Palatino Linotype" w:hAnsi="Palatino Linotype" w:cs="Arial"/>
          <w:sz w:val="24"/>
          <w:szCs w:val="24"/>
        </w:rPr>
      </w:pPr>
    </w:p>
    <w:p w:rsidR="00D11B9A" w:rsidRDefault="00D11B9A" w:rsidP="00D11B9A">
      <w:pPr>
        <w:spacing w:after="0" w:line="360" w:lineRule="auto"/>
        <w:contextualSpacing/>
        <w:jc w:val="both"/>
        <w:rPr>
          <w:rFonts w:ascii="Palatino Linotype" w:hAnsi="Palatino Linotype" w:cs="Arial"/>
          <w:sz w:val="24"/>
          <w:szCs w:val="24"/>
        </w:rPr>
      </w:pPr>
    </w:p>
    <w:p w:rsidR="00D11B9A" w:rsidRDefault="00D11B9A" w:rsidP="00D11B9A">
      <w:pPr>
        <w:spacing w:after="0" w:line="360" w:lineRule="auto"/>
        <w:contextualSpacing/>
        <w:jc w:val="both"/>
        <w:rPr>
          <w:rFonts w:ascii="Palatino Linotype" w:hAnsi="Palatino Linotype" w:cs="Arial"/>
          <w:sz w:val="24"/>
          <w:szCs w:val="24"/>
        </w:rPr>
      </w:pPr>
    </w:p>
    <w:p w:rsidR="00D11B9A" w:rsidRPr="00D11B9A" w:rsidRDefault="00D11B9A" w:rsidP="00D11B9A">
      <w:pPr>
        <w:spacing w:after="0" w:line="360" w:lineRule="auto"/>
        <w:contextualSpacing/>
        <w:jc w:val="both"/>
        <w:rPr>
          <w:rFonts w:ascii="Palatino Linotype" w:hAnsi="Palatino Linotype" w:cs="Arial"/>
          <w:sz w:val="24"/>
          <w:szCs w:val="24"/>
        </w:rPr>
      </w:pPr>
    </w:p>
    <w:p w:rsidR="00FB2363" w:rsidRPr="00D11B9A" w:rsidRDefault="00FB2363" w:rsidP="00FB2363">
      <w:pPr>
        <w:spacing w:after="0" w:line="360" w:lineRule="auto"/>
        <w:ind w:left="426"/>
        <w:contextualSpacing/>
        <w:jc w:val="both"/>
        <w:rPr>
          <w:rFonts w:ascii="Palatino Linotype" w:hAnsi="Palatino Linotype" w:cs="Arial"/>
          <w:sz w:val="24"/>
          <w:szCs w:val="24"/>
        </w:rPr>
      </w:pPr>
    </w:p>
    <w:p w:rsidR="00FB2363" w:rsidRPr="00D11B9A" w:rsidRDefault="00FB2363" w:rsidP="00FB2363">
      <w:pPr>
        <w:spacing w:after="0" w:line="360" w:lineRule="auto"/>
        <w:jc w:val="center"/>
        <w:rPr>
          <w:rFonts w:ascii="Palatino Linotype" w:hAnsi="Palatino Linotype"/>
          <w:b/>
          <w:sz w:val="24"/>
          <w:szCs w:val="24"/>
        </w:rPr>
      </w:pPr>
      <w:r w:rsidRPr="00D11B9A">
        <w:rPr>
          <w:rFonts w:ascii="Palatino Linotype" w:hAnsi="Palatino Linotype"/>
          <w:b/>
          <w:sz w:val="24"/>
          <w:szCs w:val="24"/>
        </w:rPr>
        <w:t>JOSÉ GUADALUPE LUNA HERNÁNDEZ</w:t>
      </w:r>
    </w:p>
    <w:p w:rsidR="00FB2363" w:rsidRPr="00D11B9A" w:rsidRDefault="00FB2363" w:rsidP="00FB2363">
      <w:pPr>
        <w:spacing w:line="360" w:lineRule="auto"/>
        <w:jc w:val="center"/>
        <w:rPr>
          <w:rFonts w:ascii="Palatino Linotype" w:hAnsi="Palatino Linotype"/>
        </w:rPr>
      </w:pPr>
      <w:r w:rsidRPr="00D11B9A">
        <w:rPr>
          <w:rFonts w:ascii="Palatino Linotype" w:hAnsi="Palatino Linotype"/>
          <w:b/>
          <w:sz w:val="24"/>
          <w:szCs w:val="24"/>
        </w:rPr>
        <w:t>COMISIONADO</w:t>
      </w:r>
    </w:p>
    <w:p w:rsidR="00FB2363" w:rsidRPr="00D11B9A" w:rsidRDefault="00FB2363" w:rsidP="00FB2363">
      <w:pPr>
        <w:spacing w:line="360" w:lineRule="auto"/>
        <w:jc w:val="center"/>
        <w:rPr>
          <w:rFonts w:ascii="Palatino Linotype" w:hAnsi="Palatino Linotype"/>
          <w:b/>
          <w:sz w:val="24"/>
          <w:szCs w:val="24"/>
        </w:rPr>
      </w:pPr>
      <w:r w:rsidRPr="00D11B9A">
        <w:rPr>
          <w:rFonts w:ascii="Palatino Linotype" w:hAnsi="Palatino Linotype"/>
          <w:b/>
          <w:sz w:val="24"/>
          <w:szCs w:val="24"/>
        </w:rPr>
        <w:t>(Rúbrica)</w:t>
      </w:r>
    </w:p>
    <w:p w:rsidR="00FB2363" w:rsidRPr="00FB2363" w:rsidRDefault="00FB2363" w:rsidP="00FB2363">
      <w:pPr>
        <w:spacing w:line="360" w:lineRule="auto"/>
        <w:rPr>
          <w:rFonts w:ascii="Palatino Linotype" w:hAnsi="Palatino Linotype"/>
          <w:b/>
        </w:rPr>
      </w:pPr>
      <w:r w:rsidRPr="00D11B9A">
        <w:rPr>
          <w:rFonts w:ascii="Palatino Linotype" w:hAnsi="Palatino Linotype"/>
          <w:b/>
        </w:rPr>
        <w:t>JGLH/</w:t>
      </w:r>
      <w:proofErr w:type="spellStart"/>
      <w:r w:rsidRPr="00D11B9A">
        <w:rPr>
          <w:rFonts w:ascii="Palatino Linotype" w:hAnsi="Palatino Linotype"/>
          <w:b/>
        </w:rPr>
        <w:t>msa</w:t>
      </w:r>
      <w:proofErr w:type="spellEnd"/>
      <w:r w:rsidRPr="00D11B9A">
        <w:rPr>
          <w:rFonts w:ascii="Palatino Linotype" w:hAnsi="Palatino Linotype"/>
          <w:b/>
        </w:rPr>
        <w:t>.</w:t>
      </w:r>
    </w:p>
    <w:p w:rsidR="00FB2363" w:rsidRPr="00FB2363" w:rsidRDefault="00FB2363" w:rsidP="00FB2363">
      <w:pPr>
        <w:spacing w:line="360" w:lineRule="auto"/>
        <w:rPr>
          <w:rFonts w:ascii="Palatino Linotype" w:hAnsi="Palatino Linotype"/>
          <w:b/>
        </w:rPr>
      </w:pPr>
    </w:p>
    <w:p w:rsidR="00210566" w:rsidRDefault="00210566">
      <w:bookmarkStart w:id="3" w:name="_GoBack"/>
      <w:bookmarkEnd w:id="3"/>
    </w:p>
    <w:sectPr w:rsidR="00210566" w:rsidSect="00DA55B8">
      <w:headerReference w:type="even" r:id="rId10"/>
      <w:headerReference w:type="default" r:id="rId11"/>
      <w:footerReference w:type="even" r:id="rId12"/>
      <w:footerReference w:type="default" r:id="rId13"/>
      <w:headerReference w:type="first" r:id="rId14"/>
      <w:footerReference w:type="first" r:id="rId15"/>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ADD" w:rsidRDefault="00C40ADD" w:rsidP="00FB2363">
      <w:pPr>
        <w:spacing w:after="0" w:line="240" w:lineRule="auto"/>
      </w:pPr>
      <w:r>
        <w:separator/>
      </w:r>
    </w:p>
  </w:endnote>
  <w:endnote w:type="continuationSeparator" w:id="0">
    <w:p w:rsidR="00C40ADD" w:rsidRDefault="00C40ADD" w:rsidP="00FB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1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43E09">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103E9">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103E9">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4103E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4103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ADD" w:rsidRDefault="00C40ADD" w:rsidP="00FB2363">
      <w:pPr>
        <w:spacing w:after="0" w:line="240" w:lineRule="auto"/>
      </w:pPr>
      <w:r>
        <w:separator/>
      </w:r>
    </w:p>
  </w:footnote>
  <w:footnote w:type="continuationSeparator" w:id="0">
    <w:p w:rsidR="00C40ADD" w:rsidRDefault="00C40ADD" w:rsidP="00FB2363">
      <w:pPr>
        <w:spacing w:after="0" w:line="240" w:lineRule="auto"/>
      </w:pPr>
      <w:r>
        <w:continuationSeparator/>
      </w:r>
    </w:p>
  </w:footnote>
  <w:footnote w:id="1">
    <w:p w:rsidR="00FB2363" w:rsidRDefault="00FB2363" w:rsidP="00FB2363">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FB2363" w:rsidRDefault="00FB2363" w:rsidP="00FB2363">
      <w:pPr>
        <w:pStyle w:val="Textonotapie"/>
      </w:pPr>
      <w:r>
        <w:rPr>
          <w:rStyle w:val="Refdenotaalpie"/>
        </w:rPr>
        <w:footnoteRef/>
      </w:r>
      <w:r>
        <w:t xml:space="preserve"> </w:t>
      </w:r>
      <w:r w:rsidRPr="00C775C0">
        <w:rPr>
          <w:i/>
        </w:rPr>
        <w:t>Ibídem</w:t>
      </w:r>
      <w:r>
        <w:t>. Pág. 3594.</w:t>
      </w:r>
    </w:p>
  </w:footnote>
  <w:footnote w:id="3">
    <w:p w:rsidR="00FB2363" w:rsidRDefault="00FB2363" w:rsidP="00FB2363">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FB2363" w:rsidRDefault="00FB2363" w:rsidP="00FB2363">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FB2363" w:rsidRDefault="00FB2363" w:rsidP="00FB2363">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103E9">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103E9">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4103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103E9">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7202FA"/>
    <w:multiLevelType w:val="hybridMultilevel"/>
    <w:tmpl w:val="1DD6EC10"/>
    <w:lvl w:ilvl="0" w:tplc="E7E0261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75C4EA1"/>
    <w:multiLevelType w:val="hybridMultilevel"/>
    <w:tmpl w:val="EABE3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63"/>
    <w:rsid w:val="00043E09"/>
    <w:rsid w:val="00210566"/>
    <w:rsid w:val="0027260C"/>
    <w:rsid w:val="004103E9"/>
    <w:rsid w:val="00537B40"/>
    <w:rsid w:val="00AD1646"/>
    <w:rsid w:val="00C40ADD"/>
    <w:rsid w:val="00C50F12"/>
    <w:rsid w:val="00D11B9A"/>
    <w:rsid w:val="00F84235"/>
    <w:rsid w:val="00FB2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7F2006E-6C84-41FD-800D-F64DFAFD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FB23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B2363"/>
  </w:style>
  <w:style w:type="paragraph" w:styleId="Encabezado">
    <w:name w:val="header"/>
    <w:basedOn w:val="Normal"/>
    <w:link w:val="EncabezadoCar"/>
    <w:uiPriority w:val="99"/>
    <w:semiHidden/>
    <w:unhideWhenUsed/>
    <w:rsid w:val="00FB23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B2363"/>
  </w:style>
  <w:style w:type="paragraph" w:styleId="Textonotapie">
    <w:name w:val="footnote text"/>
    <w:basedOn w:val="Normal"/>
    <w:link w:val="TextonotapieCar"/>
    <w:uiPriority w:val="99"/>
    <w:semiHidden/>
    <w:unhideWhenUsed/>
    <w:rsid w:val="00FB2363"/>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FB2363"/>
    <w:rPr>
      <w:sz w:val="20"/>
      <w:szCs w:val="20"/>
      <w:lang w:val="es-ES"/>
    </w:rPr>
  </w:style>
  <w:style w:type="character" w:styleId="Refdenotaalpie">
    <w:name w:val="footnote reference"/>
    <w:basedOn w:val="Fuentedeprrafopredeter"/>
    <w:uiPriority w:val="99"/>
    <w:unhideWhenUsed/>
    <w:rsid w:val="00FB2363"/>
    <w:rPr>
      <w:vertAlign w:val="superscript"/>
    </w:rPr>
  </w:style>
  <w:style w:type="character" w:styleId="Hipervnculo">
    <w:name w:val="Hyperlink"/>
    <w:basedOn w:val="Fuentedeprrafopredeter"/>
    <w:uiPriority w:val="99"/>
    <w:unhideWhenUsed/>
    <w:rsid w:val="00FB2363"/>
    <w:rPr>
      <w:color w:val="0563C1" w:themeColor="hyperlink"/>
      <w:u w:val="single"/>
    </w:rPr>
  </w:style>
  <w:style w:type="paragraph" w:styleId="Prrafodelista">
    <w:name w:val="List Paragraph"/>
    <w:basedOn w:val="Normal"/>
    <w:uiPriority w:val="34"/>
    <w:qFormat/>
    <w:rsid w:val="00537B40"/>
    <w:pPr>
      <w:ind w:left="720"/>
      <w:contextualSpacing/>
    </w:pPr>
  </w:style>
  <w:style w:type="paragraph" w:styleId="Textodeglobo">
    <w:name w:val="Balloon Text"/>
    <w:basedOn w:val="Normal"/>
    <w:link w:val="TextodegloboCar"/>
    <w:uiPriority w:val="99"/>
    <w:semiHidden/>
    <w:unhideWhenUsed/>
    <w:rsid w:val="00D11B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1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2.edomex.gob.mx/TramitesyServicios/Tramite?tram=1159&amp;cont=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564400.pag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565404.page"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3305</Words>
  <Characters>18180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cp:lastPrinted>2018-10-08T22:48:00Z</cp:lastPrinted>
  <dcterms:created xsi:type="dcterms:W3CDTF">2018-10-08T22:49:00Z</dcterms:created>
  <dcterms:modified xsi:type="dcterms:W3CDTF">2018-12-18T01:26:00Z</dcterms:modified>
</cp:coreProperties>
</file>